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温州尹天数智人才公共实训基地有限公司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合作可行性报告</w:t>
      </w:r>
    </w:p>
    <w:p>
      <w:pPr>
        <w:widowControl/>
        <w:jc w:val="center"/>
      </w:pPr>
      <w:r>
        <w:rPr>
          <w:rFonts w:ascii="楷体_GB2312" w:hAnsi="楷体_GB2312" w:eastAsia="楷体_GB2312" w:cs="楷体_GB2312"/>
          <w:color w:val="000000"/>
          <w:kern w:val="0"/>
          <w:sz w:val="30"/>
          <w:szCs w:val="30"/>
          <w:lang w:bidi="ar"/>
        </w:rPr>
        <w:t>（格式内容）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0"/>
          <w:szCs w:val="30"/>
          <w:lang w:bidi="ar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0"/>
          <w:szCs w:val="30"/>
          <w:lang w:bidi="ar"/>
        </w:rPr>
        <w:t>5</w:t>
      </w: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bidi="ar"/>
        </w:rPr>
        <w:t>00字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一、企业概况 </w:t>
      </w:r>
    </w:p>
    <w:p>
      <w:pPr>
        <w:widowControl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（介绍企业所在行业、规模、重要荣誉、特色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等）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二、合作方案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（一）合作原则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（二）合作范围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（三）项目目标（总体目标和量化目标）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（四）双方权利、职责与义务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（五）经费收支（培训保底费、经费收支、分配、结算等） 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三、预期效益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（合作后产生的预期效益量化指标，包括人员培训数、企业员工学徒等培训）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四、违约责任</w:t>
      </w:r>
    </w:p>
    <w:p>
      <w:pPr>
        <w:rPr>
          <w:rFonts w:hint="eastAsia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五、其他事项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mFlNDI2NWZlNDRmMjk1MjM1MjMxZDc4OGY1ZDgifQ=="/>
  </w:docVars>
  <w:rsids>
    <w:rsidRoot w:val="2BEA2449"/>
    <w:rsid w:val="003A2183"/>
    <w:rsid w:val="003B7AC1"/>
    <w:rsid w:val="00C22914"/>
    <w:rsid w:val="2BEA2449"/>
    <w:rsid w:val="5C796031"/>
    <w:rsid w:val="73A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中华人民共和国国务院</Company>
  <Pages>1</Pages>
  <Words>190</Words>
  <Characters>193</Characters>
  <Lines>1</Lines>
  <Paragraphs>1</Paragraphs>
  <TotalTime>0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2022-08-24T05:44:00Z</dcterms:created>
  <dc:creator>。</dc:creator>
  <cp:lastModifiedBy>sunrise</cp:lastModifiedBy>
  <dcterms:modified xsi:type="dcterms:W3CDTF">2022-08-25T00:51:00Z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4BBA5E59019649568863753EAA930963</vt:lpwstr>
  </property>
</Properties>
</file>