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2"/>
          <w:szCs w:val="22"/>
        </w:rPr>
      </w:pPr>
      <w:bookmarkStart w:id="0" w:name="_GoBack"/>
      <w:r>
        <w:rPr>
          <w:rFonts w:hint="eastAsia" w:ascii="微软雅黑" w:hAnsi="微软雅黑" w:eastAsia="微软雅黑" w:cs="微软雅黑"/>
          <w:i w:val="0"/>
          <w:iCs w:val="0"/>
          <w:caps w:val="0"/>
          <w:color w:val="333333"/>
          <w:spacing w:val="0"/>
          <w:sz w:val="22"/>
          <w:szCs w:val="22"/>
          <w:bdr w:val="none" w:color="auto" w:sz="0" w:space="0"/>
          <w:shd w:val="clear" w:fill="FFFFFF"/>
        </w:rPr>
        <w:t>浙江省哲学社会科学专项资金资助标准</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870"/>
        <w:jc w:val="center"/>
        <w:rPr>
          <w:rFonts w:hint="default" w:ascii="Times New Roman" w:hAnsi="Times New Roman" w:cs="Times New Roman"/>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870"/>
        <w:jc w:val="center"/>
        <w:rPr>
          <w:rFonts w:hint="default" w:ascii="Times New Roman" w:hAnsi="Times New Roman" w:cs="Times New Roman"/>
          <w:i w:val="0"/>
          <w:iCs w:val="0"/>
          <w:caps w:val="0"/>
          <w:color w:val="333333"/>
          <w:spacing w:val="0"/>
          <w:sz w:val="24"/>
          <w:szCs w:val="24"/>
        </w:rPr>
      </w:pP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24"/>
        <w:gridCol w:w="2541"/>
        <w:gridCol w:w="1417"/>
        <w:gridCol w:w="32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5" w:hRule="atLeast"/>
          <w:jc w:val="center"/>
        </w:trPr>
        <w:tc>
          <w:tcPr>
            <w:tcW w:w="1380" w:type="dxa"/>
            <w:tcBorders>
              <w:top w:val="single" w:color="auto" w:sz="6" w:space="0"/>
              <w:left w:val="single" w:color="auto" w:sz="6" w:space="0"/>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黑体" w:hAnsi="宋体" w:eastAsia="黑体" w:cs="黑体"/>
                <w:sz w:val="30"/>
                <w:szCs w:val="30"/>
                <w:bdr w:val="none" w:color="auto" w:sz="0" w:space="0"/>
              </w:rPr>
              <w:t>支持范围</w:t>
            </w:r>
          </w:p>
        </w:tc>
        <w:tc>
          <w:tcPr>
            <w:tcW w:w="2925" w:type="dxa"/>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30"/>
                <w:szCs w:val="30"/>
                <w:bdr w:val="none" w:color="auto" w:sz="0" w:space="0"/>
              </w:rPr>
              <w:t>具体内容</w:t>
            </w:r>
          </w:p>
        </w:tc>
        <w:tc>
          <w:tcPr>
            <w:tcW w:w="1575" w:type="dxa"/>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30"/>
                <w:szCs w:val="30"/>
                <w:bdr w:val="none" w:color="auto" w:sz="0" w:space="0"/>
              </w:rPr>
              <w:t>分配方式</w:t>
            </w:r>
          </w:p>
        </w:tc>
        <w:tc>
          <w:tcPr>
            <w:tcW w:w="3780" w:type="dxa"/>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30"/>
                <w:szCs w:val="30"/>
                <w:bdr w:val="none" w:color="auto" w:sz="0" w:space="0"/>
              </w:rPr>
              <w:t>资助标准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05" w:hRule="atLeast"/>
          <w:jc w:val="center"/>
        </w:trPr>
        <w:tc>
          <w:tcPr>
            <w:tcW w:w="1380"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ascii="仿宋_GB2312" w:hAnsi="Times New Roman" w:eastAsia="仿宋_GB2312" w:cs="仿宋_GB2312"/>
                <w:sz w:val="24"/>
                <w:szCs w:val="24"/>
                <w:bdr w:val="none" w:color="auto" w:sz="0" w:space="0"/>
              </w:rPr>
              <w:t>课题研究</w:t>
            </w:r>
          </w:p>
        </w:tc>
        <w:tc>
          <w:tcPr>
            <w:tcW w:w="292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哲学社会科学规划课题、省社科联研究课题、省社科联科普课题</w:t>
            </w:r>
          </w:p>
        </w:tc>
        <w:tc>
          <w:tcPr>
            <w:tcW w:w="157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公开竞争为主，择优委托为辅</w:t>
            </w:r>
          </w:p>
        </w:tc>
        <w:tc>
          <w:tcPr>
            <w:tcW w:w="3780"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重大课题10-20万元，重点课题6-8万元，一般课题1-5万元，后补助项目1-6万元。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935" w:hRule="atLeast"/>
          <w:jc w:val="center"/>
        </w:trPr>
        <w:tc>
          <w:tcPr>
            <w:tcW w:w="1380" w:type="dxa"/>
            <w:vMerge w:val="restart"/>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仿宋_GB2312" w:hAnsi="Times New Roman" w:eastAsia="仿宋_GB2312" w:cs="仿宋_GB2312"/>
                <w:sz w:val="24"/>
                <w:szCs w:val="24"/>
                <w:bdr w:val="none" w:color="auto" w:sz="0" w:space="0"/>
              </w:rPr>
              <w:t>科研平台</w:t>
            </w:r>
          </w:p>
        </w:tc>
        <w:tc>
          <w:tcPr>
            <w:tcW w:w="292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新型智库</w:t>
            </w:r>
          </w:p>
        </w:tc>
        <w:tc>
          <w:tcPr>
            <w:tcW w:w="157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公开竞争为主，政府购买服务、择优委托为辅</w:t>
            </w:r>
          </w:p>
        </w:tc>
        <w:tc>
          <w:tcPr>
            <w:tcW w:w="3780"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结合我省哲学社会科学五年规划确定的建设数量，建设期内（下同）浙江省新型重点专业智库每年不超过150万元，浙江省重点培育智库每年不超过60万元。根据中期和期末绩效评估结果作动态调整。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35" w:hRule="atLeast"/>
          <w:jc w:val="center"/>
        </w:trPr>
        <w:tc>
          <w:tcPr>
            <w:tcW w:w="1380"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default" w:ascii="Times New Roman" w:hAnsi="Times New Roman" w:cs="Times New Roman"/>
                <w:sz w:val="19"/>
                <w:szCs w:val="19"/>
              </w:rPr>
            </w:pPr>
          </w:p>
        </w:tc>
        <w:tc>
          <w:tcPr>
            <w:tcW w:w="292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省哲学社会科学重点研究基地</w:t>
            </w:r>
          </w:p>
        </w:tc>
        <w:tc>
          <w:tcPr>
            <w:tcW w:w="157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公开竞争为主，择优委托为辅</w:t>
            </w:r>
          </w:p>
        </w:tc>
        <w:tc>
          <w:tcPr>
            <w:tcW w:w="3780"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A类基地每年不超过80万元，B类基地每年不超过50万元。根据中期和期末绩效评估结果作动态调整。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5" w:hRule="atLeast"/>
          <w:jc w:val="center"/>
        </w:trPr>
        <w:tc>
          <w:tcPr>
            <w:tcW w:w="1380"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仿宋_GB2312" w:hAnsi="Times New Roman" w:eastAsia="仿宋_GB2312" w:cs="仿宋_GB2312"/>
                <w:sz w:val="24"/>
                <w:szCs w:val="24"/>
                <w:bdr w:val="none" w:color="auto" w:sz="0" w:space="0"/>
              </w:rPr>
              <w:t>宣传普及</w:t>
            </w:r>
          </w:p>
        </w:tc>
        <w:tc>
          <w:tcPr>
            <w:tcW w:w="292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社科普及活动、社科普及基地建设、科普创新项目；优秀成果、优秀学者等宣传推介</w:t>
            </w:r>
          </w:p>
        </w:tc>
        <w:tc>
          <w:tcPr>
            <w:tcW w:w="1575" w:type="dxa"/>
            <w:vMerge w:val="restart"/>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政府购买服务</w:t>
            </w:r>
          </w:p>
        </w:tc>
        <w:tc>
          <w:tcPr>
            <w:tcW w:w="3780" w:type="dxa"/>
            <w:vMerge w:val="restart"/>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付款金额和方式根据合同约定。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15" w:hRule="atLeast"/>
          <w:jc w:val="center"/>
        </w:trPr>
        <w:tc>
          <w:tcPr>
            <w:tcW w:w="1380"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仿宋_GB2312" w:hAnsi="Times New Roman" w:eastAsia="仿宋_GB2312" w:cs="仿宋_GB2312"/>
                <w:sz w:val="24"/>
                <w:szCs w:val="24"/>
                <w:bdr w:val="none" w:color="auto" w:sz="0" w:space="0"/>
              </w:rPr>
              <w:t>学术活动</w:t>
            </w:r>
          </w:p>
        </w:tc>
        <w:tc>
          <w:tcPr>
            <w:tcW w:w="292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省级重要学术、省级学会、民办社科研究机构学术活动。</w:t>
            </w:r>
          </w:p>
        </w:tc>
        <w:tc>
          <w:tcPr>
            <w:tcW w:w="1575" w:type="dxa"/>
            <w:vMerge w:val="continue"/>
            <w:tcBorders>
              <w:top w:val="nil"/>
              <w:left w:val="nil"/>
              <w:bottom w:val="single" w:color="auto" w:sz="6" w:space="0"/>
              <w:right w:val="single" w:color="auto" w:sz="6" w:space="0"/>
            </w:tcBorders>
            <w:shd w:val="clear"/>
            <w:tcMar>
              <w:top w:w="0" w:type="dxa"/>
              <w:left w:w="75" w:type="dxa"/>
              <w:bottom w:w="0" w:type="dxa"/>
              <w:right w:w="75" w:type="dxa"/>
            </w:tcMar>
            <w:vAlign w:val="center"/>
          </w:tcPr>
          <w:p>
            <w:pPr>
              <w:rPr>
                <w:rFonts w:hint="default" w:ascii="Times New Roman" w:hAnsi="Times New Roman" w:cs="Times New Roman"/>
                <w:sz w:val="19"/>
                <w:szCs w:val="19"/>
              </w:rPr>
            </w:pPr>
          </w:p>
        </w:tc>
        <w:tc>
          <w:tcPr>
            <w:tcW w:w="3780" w:type="dxa"/>
            <w:vMerge w:val="continue"/>
            <w:tcBorders>
              <w:top w:val="nil"/>
              <w:left w:val="nil"/>
              <w:bottom w:val="single" w:color="auto" w:sz="6" w:space="0"/>
              <w:right w:val="single" w:color="auto" w:sz="6" w:space="0"/>
            </w:tcBorders>
            <w:shd w:val="clear"/>
            <w:tcMar>
              <w:top w:w="0" w:type="dxa"/>
              <w:left w:w="75" w:type="dxa"/>
              <w:bottom w:w="0" w:type="dxa"/>
              <w:right w:w="75" w:type="dxa"/>
            </w:tcMar>
            <w:vAlign w:val="center"/>
          </w:tcPr>
          <w:p>
            <w:pPr>
              <w:rPr>
                <w:rFonts w:hint="default" w:ascii="Times New Roman" w:hAnsi="Times New Roman" w:cs="Times New Roman"/>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75" w:hRule="atLeast"/>
          <w:jc w:val="center"/>
        </w:trPr>
        <w:tc>
          <w:tcPr>
            <w:tcW w:w="1380"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仿宋_GB2312" w:hAnsi="Times New Roman" w:eastAsia="仿宋_GB2312" w:cs="仿宋_GB2312"/>
                <w:sz w:val="24"/>
                <w:szCs w:val="24"/>
                <w:bdr w:val="none" w:color="auto" w:sz="0" w:space="0"/>
              </w:rPr>
              <w:t>人才培养</w:t>
            </w:r>
          </w:p>
        </w:tc>
        <w:tc>
          <w:tcPr>
            <w:tcW w:w="292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哲学社会科学人才和队伍建设，之江青年社科学者行动计划中的小组活动和浙江发展研究中心分中心活动。</w:t>
            </w:r>
          </w:p>
        </w:tc>
        <w:tc>
          <w:tcPr>
            <w:tcW w:w="157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公开竞争为主，择优委托为辅</w:t>
            </w:r>
          </w:p>
        </w:tc>
        <w:tc>
          <w:tcPr>
            <w:tcW w:w="3780"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之江青年活动小组财政资助额度为每年每个小组不超过15万元，浙江发展研究中心每年每个分中心为不超过40万元。根据中期和期末绩效评估结果作动态调整。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35" w:hRule="atLeast"/>
          <w:jc w:val="center"/>
        </w:trPr>
        <w:tc>
          <w:tcPr>
            <w:tcW w:w="1380"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仿宋_GB2312" w:hAnsi="Times New Roman" w:eastAsia="仿宋_GB2312" w:cs="仿宋_GB2312"/>
                <w:sz w:val="24"/>
                <w:szCs w:val="24"/>
                <w:bdr w:val="none" w:color="auto" w:sz="0" w:space="0"/>
              </w:rPr>
              <w:t>省哲学社会科学优秀成果奖励</w:t>
            </w:r>
          </w:p>
        </w:tc>
        <w:tc>
          <w:tcPr>
            <w:tcW w:w="292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57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公开竞争</w:t>
            </w:r>
          </w:p>
        </w:tc>
        <w:tc>
          <w:tcPr>
            <w:tcW w:w="3780"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奖励额度为一等奖8-10万元，二等奖3-5万元，青年奖1-3万元。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60" w:hRule="atLeast"/>
          <w:jc w:val="center"/>
        </w:trPr>
        <w:tc>
          <w:tcPr>
            <w:tcW w:w="1380"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仿宋_GB2312" w:hAnsi="Times New Roman" w:eastAsia="仿宋_GB2312" w:cs="仿宋_GB2312"/>
                <w:sz w:val="24"/>
                <w:szCs w:val="24"/>
                <w:bdr w:val="none" w:color="auto" w:sz="0" w:space="0"/>
              </w:rPr>
              <w:t>省级社会科学学术著作出版</w:t>
            </w:r>
          </w:p>
        </w:tc>
        <w:tc>
          <w:tcPr>
            <w:tcW w:w="292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rPr>
            </w:pPr>
          </w:p>
        </w:tc>
        <w:tc>
          <w:tcPr>
            <w:tcW w:w="157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公开竞争为主，择优委托为辅</w:t>
            </w:r>
          </w:p>
        </w:tc>
        <w:tc>
          <w:tcPr>
            <w:tcW w:w="3780"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根据评审结果，分为全额资助和部分资助。全额资助额度以出版合同为准，部分资助额度为1.5-3万元。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jc w:val="center"/>
        </w:trPr>
        <w:tc>
          <w:tcPr>
            <w:tcW w:w="1380" w:type="dxa"/>
            <w:vMerge w:val="restart"/>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仿宋_GB2312" w:hAnsi="Times New Roman" w:eastAsia="仿宋_GB2312" w:cs="仿宋_GB2312"/>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default" w:ascii="仿宋_GB2312" w:hAnsi="Times New Roman" w:eastAsia="仿宋_GB2312" w:cs="仿宋_GB2312"/>
                <w:sz w:val="24"/>
                <w:szCs w:val="24"/>
                <w:bdr w:val="none" w:color="auto" w:sz="0" w:space="0"/>
              </w:rPr>
              <w:t>浙江文化研究工程项目研究</w:t>
            </w:r>
          </w:p>
        </w:tc>
        <w:tc>
          <w:tcPr>
            <w:tcW w:w="292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研究类项目</w:t>
            </w:r>
          </w:p>
        </w:tc>
        <w:tc>
          <w:tcPr>
            <w:tcW w:w="1575" w:type="dxa"/>
            <w:vMerge w:val="restart"/>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公开竞争为主，择优委托为辅</w:t>
            </w:r>
          </w:p>
        </w:tc>
        <w:tc>
          <w:tcPr>
            <w:tcW w:w="3780"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10-15万元/册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40" w:hRule="atLeast"/>
          <w:jc w:val="center"/>
        </w:trPr>
        <w:tc>
          <w:tcPr>
            <w:tcW w:w="1380"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default" w:ascii="Times New Roman" w:hAnsi="Times New Roman" w:cs="Times New Roman"/>
                <w:sz w:val="19"/>
                <w:szCs w:val="19"/>
              </w:rPr>
            </w:pPr>
          </w:p>
        </w:tc>
        <w:tc>
          <w:tcPr>
            <w:tcW w:w="292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点校本、笺校本等古籍整理/研究</w:t>
            </w:r>
          </w:p>
        </w:tc>
        <w:tc>
          <w:tcPr>
            <w:tcW w:w="1575" w:type="dxa"/>
            <w:vMerge w:val="continue"/>
            <w:tcBorders>
              <w:top w:val="nil"/>
              <w:left w:val="nil"/>
              <w:bottom w:val="single" w:color="auto" w:sz="6" w:space="0"/>
              <w:right w:val="single" w:color="auto" w:sz="6" w:space="0"/>
            </w:tcBorders>
            <w:shd w:val="clear"/>
            <w:tcMar>
              <w:top w:w="0" w:type="dxa"/>
              <w:left w:w="75" w:type="dxa"/>
              <w:bottom w:w="0" w:type="dxa"/>
              <w:right w:w="75" w:type="dxa"/>
            </w:tcMar>
            <w:vAlign w:val="center"/>
          </w:tcPr>
          <w:p>
            <w:pPr>
              <w:rPr>
                <w:rFonts w:hint="default" w:ascii="Times New Roman" w:hAnsi="Times New Roman" w:cs="Times New Roman"/>
                <w:sz w:val="19"/>
                <w:szCs w:val="19"/>
              </w:rPr>
            </w:pPr>
          </w:p>
        </w:tc>
        <w:tc>
          <w:tcPr>
            <w:tcW w:w="3780"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7-15万元/册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1380"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default" w:ascii="Times New Roman" w:hAnsi="Times New Roman" w:cs="Times New Roman"/>
                <w:sz w:val="19"/>
                <w:szCs w:val="19"/>
              </w:rPr>
            </w:pPr>
          </w:p>
        </w:tc>
        <w:tc>
          <w:tcPr>
            <w:tcW w:w="292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标点本等古籍整理/研究</w:t>
            </w:r>
          </w:p>
        </w:tc>
        <w:tc>
          <w:tcPr>
            <w:tcW w:w="1575" w:type="dxa"/>
            <w:vMerge w:val="continue"/>
            <w:tcBorders>
              <w:top w:val="nil"/>
              <w:left w:val="nil"/>
              <w:bottom w:val="single" w:color="auto" w:sz="6" w:space="0"/>
              <w:right w:val="single" w:color="auto" w:sz="6" w:space="0"/>
            </w:tcBorders>
            <w:shd w:val="clear"/>
            <w:tcMar>
              <w:top w:w="0" w:type="dxa"/>
              <w:left w:w="75" w:type="dxa"/>
              <w:bottom w:w="0" w:type="dxa"/>
              <w:right w:w="75" w:type="dxa"/>
            </w:tcMar>
            <w:vAlign w:val="center"/>
          </w:tcPr>
          <w:p>
            <w:pPr>
              <w:rPr>
                <w:rFonts w:hint="default" w:ascii="Times New Roman" w:hAnsi="Times New Roman" w:cs="Times New Roman"/>
                <w:sz w:val="19"/>
                <w:szCs w:val="19"/>
              </w:rPr>
            </w:pPr>
          </w:p>
        </w:tc>
        <w:tc>
          <w:tcPr>
            <w:tcW w:w="3780"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4-8万元/册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1380"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default" w:ascii="Times New Roman" w:hAnsi="Times New Roman" w:cs="Times New Roman"/>
                <w:sz w:val="19"/>
                <w:szCs w:val="19"/>
              </w:rPr>
            </w:pPr>
          </w:p>
        </w:tc>
        <w:tc>
          <w:tcPr>
            <w:tcW w:w="292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文献稿本、抄本、资料等整理影印</w:t>
            </w:r>
          </w:p>
        </w:tc>
        <w:tc>
          <w:tcPr>
            <w:tcW w:w="1575" w:type="dxa"/>
            <w:vMerge w:val="continue"/>
            <w:tcBorders>
              <w:top w:val="nil"/>
              <w:left w:val="nil"/>
              <w:bottom w:val="single" w:color="auto" w:sz="6" w:space="0"/>
              <w:right w:val="single" w:color="auto" w:sz="6" w:space="0"/>
            </w:tcBorders>
            <w:shd w:val="clear"/>
            <w:tcMar>
              <w:top w:w="0" w:type="dxa"/>
              <w:left w:w="75" w:type="dxa"/>
              <w:bottom w:w="0" w:type="dxa"/>
              <w:right w:w="75" w:type="dxa"/>
            </w:tcMar>
            <w:vAlign w:val="center"/>
          </w:tcPr>
          <w:p>
            <w:pPr>
              <w:rPr>
                <w:rFonts w:hint="default" w:ascii="Times New Roman" w:hAnsi="Times New Roman" w:cs="Times New Roman"/>
                <w:sz w:val="19"/>
                <w:szCs w:val="19"/>
              </w:rPr>
            </w:pPr>
          </w:p>
        </w:tc>
        <w:tc>
          <w:tcPr>
            <w:tcW w:w="3780"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default" w:ascii="仿宋_GB2312" w:hAnsi="Times New Roman" w:eastAsia="仿宋_GB2312" w:cs="仿宋_GB2312"/>
                <w:sz w:val="24"/>
                <w:szCs w:val="24"/>
                <w:bdr w:val="none" w:color="auto" w:sz="0" w:space="0"/>
              </w:rPr>
              <w:t>0.5-1万元/册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MDNmNzM2YTYyMDc5OWRmY2UxZGU4MTkwNTU2MTYifQ=="/>
  </w:docVars>
  <w:rsids>
    <w:rsidRoot w:val="3F5B4F24"/>
    <w:rsid w:val="3F5B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2023-03-20T01:53:00Z</dcterms:created>
  <dc:creator>。</dc:creator>
  <cp:lastModifiedBy>。</cp:lastModifiedBy>
  <dcterms:modified xsi:type="dcterms:W3CDTF">2023-03-20T01:54:06Z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881EE1F38AD9431C805FE004E400FF1B</vt:lpwstr>
  </property>
</Properties>
</file>