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10"/>
        <w:tblW w:w="8582" w:type="dxa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788"/>
        <w:gridCol w:w="1091"/>
        <w:gridCol w:w="25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23"/>
              <w:ind w:right="-278" w:rightChars="-139"/>
              <w:jc w:val="both"/>
              <w:rPr>
                <w:rStyle w:val="22"/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78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06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23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569" w:type="dxa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23"/>
              <w:ind w:right="-178" w:rightChars="-89"/>
              <w:jc w:val="both"/>
              <w:rPr>
                <w:rStyle w:val="22"/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1091" w:type="dxa"/>
            <w:vAlign w:val="center"/>
          </w:tcPr>
          <w:p>
            <w:pPr>
              <w:pStyle w:val="23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5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4" w:type="dxa"/>
            <w:vAlign w:val="center"/>
          </w:tcPr>
          <w:p>
            <w:pPr>
              <w:pStyle w:val="23"/>
              <w:jc w:val="both"/>
              <w:rPr>
                <w:rStyle w:val="22"/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活动器材</w:t>
            </w:r>
          </w:p>
        </w:tc>
        <w:tc>
          <w:tcPr>
            <w:tcW w:w="1091" w:type="dxa"/>
            <w:vAlign w:val="center"/>
          </w:tcPr>
          <w:p>
            <w:pPr>
              <w:pStyle w:val="23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22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5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ind w:firstLine="290" w:firstLineChars="121"/>
              <w:jc w:val="both"/>
              <w:rPr>
                <w:sz w:val="24"/>
              </w:rPr>
            </w:pPr>
          </w:p>
        </w:tc>
      </w:tr>
    </w:tbl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健身器材建议品牌：乔山、英派斯、万年青</w:t>
      </w:r>
    </w:p>
    <w:p>
      <w:pPr>
        <w:pStyle w:val="9"/>
        <w:spacing w:before="0" w:beforeAutospacing="0" w:after="0" w:afterAutospacing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按摩椅建议品牌：荣泰、瑞莱克斯、荣康</w:t>
      </w:r>
    </w:p>
    <w:p>
      <w:pPr>
        <w:pStyle w:val="9"/>
        <w:spacing w:before="0" w:beforeAutospacing="0" w:after="0" w:afterAutospacing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台球桌建议品牌：乔氏、星牌、永明</w:t>
      </w:r>
    </w:p>
    <w:p>
      <w:pPr>
        <w:pStyle w:val="9"/>
        <w:spacing w:before="0" w:beforeAutospacing="0" w:after="0" w:afterAutospacing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乒乓球桌建议品牌：红双喜、双鱼、尤拉</w:t>
      </w:r>
    </w:p>
    <w:p>
      <w:pPr>
        <w:pStyle w:val="9"/>
        <w:spacing w:before="0" w:beforeAutospacing="0" w:after="0" w:afterAutospacing="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棋牌桌建议品牌：中高端品牌</w:t>
      </w:r>
    </w:p>
    <w:p>
      <w:pPr>
        <w:pStyle w:val="9"/>
        <w:spacing w:before="0" w:beforeAutospacing="0" w:after="0" w:afterAutospacing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zh-TW" w:eastAsia="zh-TW"/>
        </w:rPr>
        <w:t>备注：</w:t>
      </w:r>
      <w:r>
        <w:rPr>
          <w:rFonts w:hint="eastAsia"/>
          <w:sz w:val="24"/>
          <w:lang w:val="en-US" w:eastAsia="zh-CN"/>
        </w:rPr>
        <w:t>1、以下带</w:t>
      </w:r>
      <w:r>
        <w:rPr>
          <w:rFonts w:hint="eastAsia" w:ascii="仿宋_GB2312" w:hAnsi="仿宋" w:eastAsia="仿宋_GB2312" w:cs="宋体"/>
          <w:color w:val="000000"/>
          <w:sz w:val="24"/>
          <w:szCs w:val="24"/>
          <w:u w:val="none"/>
          <w:lang w:val="zh-TW" w:eastAsia="zh-TW"/>
        </w:rPr>
        <w:t>▲</w:t>
      </w:r>
      <w:r>
        <w:rPr>
          <w:rFonts w:hint="eastAsia"/>
          <w:sz w:val="24"/>
          <w:lang w:val="en-US" w:eastAsia="zh-CN"/>
        </w:rPr>
        <w:t>参数不接受偏离，中标后供应商需提供要求的NSCC国体认证证与其他证明材料</w:t>
      </w:r>
      <w:r>
        <w:rPr>
          <w:rFonts w:hint="eastAsia" w:ascii="宋体" w:hAnsi="宋体" w:eastAsia="宋体" w:cs="宋体"/>
          <w:sz w:val="24"/>
          <w:lang w:val="en-US" w:eastAsia="zh-CN"/>
        </w:rPr>
        <w:t>，</w:t>
      </w:r>
      <w:r>
        <w:rPr>
          <w:rFonts w:hint="eastAsia" w:cs="宋体"/>
          <w:sz w:val="24"/>
          <w:lang w:val="en-US" w:eastAsia="zh-CN"/>
        </w:rPr>
        <w:t>少提供或</w:t>
      </w:r>
      <w:r>
        <w:rPr>
          <w:rFonts w:hint="eastAsia" w:ascii="宋体" w:hAnsi="宋体" w:eastAsia="宋体" w:cs="宋体"/>
          <w:sz w:val="24"/>
          <w:lang w:val="en-US" w:eastAsia="zh-CN"/>
        </w:rPr>
        <w:t>不提供</w:t>
      </w:r>
      <w:r>
        <w:rPr>
          <w:rFonts w:hint="eastAsia" w:cs="宋体"/>
          <w:sz w:val="24"/>
          <w:lang w:val="en-US" w:eastAsia="zh-CN"/>
        </w:rPr>
        <w:t>按</w:t>
      </w:r>
      <w:r>
        <w:rPr>
          <w:rFonts w:hint="eastAsia" w:ascii="宋体" w:hAnsi="宋体" w:eastAsia="宋体" w:cs="宋体"/>
          <w:sz w:val="24"/>
          <w:lang w:val="en-US" w:eastAsia="zh-CN"/>
        </w:rPr>
        <w:t>废标处理。</w:t>
      </w:r>
    </w:p>
    <w:p>
      <w:pPr>
        <w:pStyle w:val="9"/>
        <w:spacing w:before="0" w:beforeAutospacing="0" w:after="0" w:afterAutospacing="0"/>
        <w:rPr>
          <w:rFonts w:hint="eastAsia" w:ascii="宋体" w:hAnsi="宋体" w:eastAsia="宋体" w:cs="宋体"/>
          <w:sz w:val="24"/>
          <w:lang w:val="zh-TW" w:eastAsia="zh-TW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lang w:val="zh-TW" w:eastAsia="zh-TW"/>
        </w:rPr>
        <w:t>为了保证美观程度</w:t>
      </w:r>
      <w:r>
        <w:rPr>
          <w:rFonts w:hint="eastAsia" w:cs="宋体"/>
          <w:sz w:val="24"/>
          <w:lang w:val="zh-TW" w:eastAsia="zh-CN"/>
        </w:rPr>
        <w:t>及后期维护便捷</w:t>
      </w:r>
      <w:r>
        <w:rPr>
          <w:rFonts w:hint="eastAsia" w:ascii="宋体" w:hAnsi="宋体" w:eastAsia="宋体" w:cs="宋体"/>
          <w:sz w:val="24"/>
          <w:lang w:val="zh-TW" w:eastAsia="zh-TW"/>
        </w:rPr>
        <w:t>，所供货物</w:t>
      </w:r>
      <w:r>
        <w:rPr>
          <w:rFonts w:hint="eastAsia" w:ascii="宋体" w:hAnsi="宋体" w:eastAsia="宋体" w:cs="宋体"/>
          <w:sz w:val="24"/>
          <w:lang w:val="en-US" w:eastAsia="zh-CN"/>
        </w:rPr>
        <w:t>（序号</w:t>
      </w:r>
      <w:r>
        <w:rPr>
          <w:rFonts w:hint="eastAsia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-</w:t>
      </w:r>
      <w:r>
        <w:rPr>
          <w:rFonts w:hint="eastAsia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项）</w:t>
      </w:r>
      <w:r>
        <w:rPr>
          <w:rFonts w:hint="eastAsia" w:ascii="宋体" w:hAnsi="宋体" w:eastAsia="宋体" w:cs="宋体"/>
          <w:sz w:val="24"/>
          <w:lang w:val="zh-TW" w:eastAsia="zh-TW"/>
        </w:rPr>
        <w:t>应当保证</w:t>
      </w:r>
      <w:r>
        <w:rPr>
          <w:rFonts w:hint="eastAsia" w:cs="宋体"/>
          <w:sz w:val="24"/>
          <w:lang w:val="zh-TW" w:eastAsia="zh-CN"/>
        </w:rPr>
        <w:t>同一品牌且</w:t>
      </w:r>
      <w:r>
        <w:rPr>
          <w:rFonts w:hint="eastAsia" w:ascii="宋体" w:hAnsi="宋体" w:eastAsia="宋体" w:cs="宋体"/>
          <w:sz w:val="24"/>
          <w:lang w:val="zh-TW" w:eastAsia="zh-TW"/>
        </w:rPr>
        <w:t>风格统一或色系同一。</w:t>
      </w:r>
    </w:p>
    <w:p>
      <w:pPr>
        <w:pStyle w:val="9"/>
        <w:spacing w:before="0" w:beforeAutospacing="0" w:after="0" w:afterAutospacing="0"/>
        <w:rPr>
          <w:rFonts w:hint="eastAsia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3、健身器材（序号</w:t>
      </w:r>
      <w:r>
        <w:rPr>
          <w:rFonts w:hint="eastAsia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-</w:t>
      </w:r>
      <w:r>
        <w:rPr>
          <w:rFonts w:hint="eastAsia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lang w:val="en-US" w:eastAsia="zh-CN"/>
        </w:rPr>
        <w:t>项）需提供产品责任险、产品质量险、公众责任险、及团体意外伤害保险。</w:t>
      </w:r>
    </w:p>
    <w:tbl>
      <w:tblPr>
        <w:tblStyle w:val="11"/>
        <w:tblpPr w:leftFromText="180" w:rightFromText="180" w:vertAnchor="text" w:horzAnchor="page" w:tblpXSpec="center" w:tblpY="267"/>
        <w:tblW w:w="60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098"/>
        <w:gridCol w:w="3430"/>
        <w:gridCol w:w="562"/>
        <w:gridCol w:w="521"/>
        <w:gridCol w:w="935"/>
        <w:gridCol w:w="1856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533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666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/>
                <w:b w:val="0"/>
                <w:bCs w:val="0"/>
                <w:sz w:val="24"/>
                <w:szCs w:val="24"/>
              </w:rPr>
              <w:t>型号或规格</w:t>
            </w:r>
          </w:p>
        </w:tc>
        <w:tc>
          <w:tcPr>
            <w:tcW w:w="273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253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454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金额（元）</w:t>
            </w:r>
          </w:p>
        </w:tc>
        <w:tc>
          <w:tcPr>
            <w:tcW w:w="90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图片</w:t>
            </w:r>
          </w:p>
        </w:tc>
        <w:tc>
          <w:tcPr>
            <w:tcW w:w="634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所投产品品牌、型号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二十三功能综合训练器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器材尺寸：≥2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02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0*1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0*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205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每组12块；每块4.5Kg钢质配重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3、最大训练载荷：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kg；最大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人体质量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4、主立管规格：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F50mm*50mm*2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TW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CN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TW"/>
              </w:rPr>
              <w:t>健身器材喷涂腐蚀试验检测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zh-TW" w:eastAsia="zh-TW"/>
              </w:rPr>
              <w:t>健身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器材喷涂化学分析环保检测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健身器材钢材主管厚度检测与健身器材镀铬件检测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（提供证明材料并加盖公章）</w:t>
            </w:r>
          </w:p>
          <w:p>
            <w:pPr>
              <w:pStyle w:val="2"/>
              <w:spacing w:after="0" w:line="360" w:lineRule="exact"/>
              <w:ind w:left="0" w:leftChars="0" w:right="-12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en-US" w:eastAsia="zh-CN"/>
              </w:rPr>
              <w:t>6、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通过NSCC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国体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认证。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提供NSCC国体认证证书加盖公章）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026795" cy="1174115"/>
                  <wp:effectExtent l="0" t="0" r="1905" b="6985"/>
                  <wp:docPr id="1" name="图片 32" descr="518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2" descr="518E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49" r="158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跑步机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产品尺寸：≥20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800*13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马达驱动：≥AC3.0HP（最大功率≥7.0HP）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速度范围：≥0.8-18.0km/h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坡度范围：≥0%-15%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跑步区域：≥1500X5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跑带：厚度≥2.2mm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跑板：厚度≥25mm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内置跑步机自动补偿式缓冲装置技术。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（提供证明材料并加盖公章）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显示参数：时间、距离、速度、坡度、热量、心率;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≥ 8种专业运动模式,≥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个手动模式和多种预设模式等；</w:t>
            </w:r>
          </w:p>
          <w:p>
            <w:pPr>
              <w:pStyle w:val="2"/>
              <w:spacing w:after="0"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9、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健身器材喷涂腐蚀试验检测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健身器材喷涂化学分析环保检测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健身器材钢材主管厚度检测与健身器材镀铬件检测检测；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（提供证明材料并加盖公章）</w:t>
            </w:r>
          </w:p>
          <w:p>
            <w:pPr>
              <w:pStyle w:val="2"/>
              <w:spacing w:after="0" w:line="360" w:lineRule="exact"/>
              <w:ind w:left="0" w:leftChars="0" w:right="-12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通过NSCC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国体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认证。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提供NSCC国体认证证书加盖公章）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1055370" cy="1151255"/>
                  <wp:effectExtent l="0" t="0" r="11430" b="0"/>
                  <wp:docPr id="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动感单车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产品尺寸：≥1200*6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0*10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0mm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最大承重：≥150kg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阻力系统：摩擦阻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驱动系统：皮带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刹车方式：下压手柄紧急刹车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调节：车把垂直可调、座椅水平和垂直可调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车身：壁厚≥2.0mm平椭管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飞轮：≥ 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KG实心镀铬飞轮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中轴：商用密封轴承/高强度加粗≥40mm轴心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10、把立管规格：≥PT60×30×2.0mm；座立管规格：≥PT60×30×2.0mm；飞轮规格：≥￠450mm*28mm；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11、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通过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健身器材喷涂腐蚀试验检测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健身器材喷涂化学分析环保检测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健身器材钢材主管厚度检测与健身器材镀铬件检测检测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提供证明材料并加盖公章）</w:t>
            </w:r>
          </w:p>
          <w:p>
            <w:pPr>
              <w:pStyle w:val="2"/>
              <w:spacing w:after="0" w:line="360" w:lineRule="exact"/>
              <w:ind w:left="0" w:leftChars="0" w:right="-12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en-US" w:eastAsia="zh-CN"/>
              </w:rPr>
              <w:t>12、</w:t>
            </w:r>
            <w: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  <w:u w:val="none"/>
                <w:lang w:val="zh-TW" w:eastAsia="zh-TW"/>
              </w:rPr>
              <w:t>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通过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NSCC国体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认证。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提供NSCC国体认证证书加盖公章）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1075690" cy="1189355"/>
                  <wp:effectExtent l="0" t="0" r="0" b="0"/>
                  <wp:docPr id="3" name="图片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4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按摩椅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1、尺寸：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1080*700*670mm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碳纤维加热疗法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3、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可伸缩脚凳，适合大多数用户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4、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足部滚动刮痧按摩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5、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零重力功能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；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6、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节省空间的技术，5cm靠墙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TW" w:bidi="ar-SA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zh-TW" w:eastAsia="zh-CN" w:bidi="ar-SA"/>
              </w:rPr>
              <w:t>认证：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使用新型专利证书（一种具有揉捏和敲击功能机芯的背部按摩椅）、（膝盖自动按摩结构）、（联动式按摩椅架），计算机软件著作权登记证书；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（提供证明材料并加盖公章）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046480" cy="741045"/>
                  <wp:effectExtent l="0" t="0" r="1270" b="1905"/>
                  <wp:docPr id="9" name="图片 9" descr="32247390c5717b101c871f7f980c9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2247390c5717b101c871f7f980c9e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台球桌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中式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1、尺寸：≥2830长*1540外框宽*850高；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配集球器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drawing>
                <wp:inline distT="0" distB="0" distL="0" distR="0">
                  <wp:extent cx="1008380" cy="729615"/>
                  <wp:effectExtent l="0" t="0" r="1270" b="13335"/>
                  <wp:docPr id="6" name="图片 5" descr="a2d8e0121cd3c81ca889c92eba42f7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a2d8e0121cd3c81ca889c92eba42f7e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乒乓球桌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1、</w:t>
            </w:r>
            <w: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台面材质: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密度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纤维</w:t>
            </w:r>
            <w:r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板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2、面板厚度:≥18mm；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3、台长:≥2740mm，台宽: ≥1525mm，台高:≥760mm；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、折叠移动式；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、国际专业赛事品牌供应商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114300" distR="114300">
                  <wp:extent cx="988695" cy="546100"/>
                  <wp:effectExtent l="0" t="0" r="1905" b="635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棋牌桌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棋牌桌尺寸：≥88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长*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88宽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，（不含椅子）</w:t>
            </w:r>
          </w:p>
        </w:tc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723265" cy="692785"/>
                  <wp:effectExtent l="0" t="0" r="635" b="12065"/>
                  <wp:docPr id="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92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2" w:type="pct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726" w:type="pct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人民币大写：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¥</w:t>
            </w:r>
          </w:p>
        </w:tc>
        <w:tc>
          <w:tcPr>
            <w:tcW w:w="9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>
      <w:pPr>
        <w:pStyle w:val="9"/>
        <w:spacing w:before="0" w:beforeAutospacing="0" w:after="0" w:afterAutospacing="0"/>
        <w:ind w:firstLine="357"/>
        <w:rPr>
          <w:rFonts w:hint="eastAsia" w:eastAsia="宋体"/>
          <w:lang w:eastAsia="zh-CN"/>
        </w:rPr>
      </w:pPr>
    </w:p>
    <w:p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备注：1、以上报价含税费、运费、安装调试。</w:t>
      </w:r>
    </w:p>
    <w:p>
      <w:pPr>
        <w:pStyle w:val="9"/>
        <w:spacing w:before="0" w:beforeAutospacing="0" w:after="0" w:afterAutospacing="0"/>
        <w:ind w:firstLine="720" w:firstLineChars="3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2、▲交货期：合同签订后7个日历天。</w:t>
      </w: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rPr>
          <w:rFonts w:hint="eastAsia"/>
        </w:rPr>
      </w:pPr>
    </w:p>
    <w:p>
      <w:pPr>
        <w:pStyle w:val="9"/>
        <w:spacing w:before="0" w:beforeAutospacing="0" w:after="0" w:afterAutospacing="0"/>
        <w:rPr>
          <w:rFonts w:hint="eastAsia"/>
        </w:rPr>
      </w:pPr>
    </w:p>
    <w:p>
      <w:pPr>
        <w:pStyle w:val="9"/>
        <w:spacing w:before="0" w:beforeAutospacing="0" w:after="0" w:afterAutospacing="0"/>
        <w:rPr>
          <w:rFonts w:hint="eastAsia"/>
        </w:rPr>
      </w:pPr>
    </w:p>
    <w:p>
      <w:pPr>
        <w:pStyle w:val="9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>
      <w:pPr>
        <w:pStyle w:val="9"/>
        <w:spacing w:before="0" w:beforeAutospacing="0" w:after="0" w:afterAutospacing="0"/>
        <w:ind w:firstLine="357"/>
      </w:pPr>
    </w:p>
    <w:tbl>
      <w:tblPr>
        <w:tblStyle w:val="3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 封条 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 w:ascii="华文楷体" w:hAnsi="华文楷体" w:eastAsia="华文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eastAsia="华文楷体"/>
                <w:sz w:val="24"/>
                <w:szCs w:val="24"/>
                <w:lang w:val="en-US" w:eastAsia="zh-CN"/>
              </w:rPr>
              <w:t>活动器材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9"/>
        <w:spacing w:before="0" w:beforeAutospacing="0" w:after="0" w:afterAutospacing="0"/>
        <w:ind w:firstLine="357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ind w:firstLine="357"/>
        <w:rPr>
          <w:rFonts w:hint="default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before="0" w:beforeAutospacing="0" w:after="0" w:afterAutospacing="0"/>
        <w:ind w:firstLine="357"/>
      </w:pPr>
    </w:p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hmYjYxOTEzMDEzNDljOTZlZDEwZTcyZmYyYzAifQ=="/>
  </w:docVars>
  <w:rsids>
    <w:rsidRoot w:val="00000000"/>
    <w:rsid w:val="19A701A4"/>
    <w:rsid w:val="1A6C749C"/>
    <w:rsid w:val="1D543EE0"/>
    <w:rsid w:val="2D827917"/>
    <w:rsid w:val="40570E80"/>
    <w:rsid w:val="4BBF1C0D"/>
    <w:rsid w:val="4E6C6072"/>
    <w:rsid w:val="520E2FE9"/>
    <w:rsid w:val="54BF7BF6"/>
    <w:rsid w:val="5E3A192F"/>
    <w:rsid w:val="795D708C"/>
    <w:rsid w:val="7E0A6126"/>
    <w:rsid w:val="7EE15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5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link w:val="21"/>
    <w:qFormat/>
    <w:uiPriority w:val="0"/>
    <w:pPr>
      <w:spacing w:line="533" w:lineRule="auto"/>
      <w:ind w:left="840" w:right="-120"/>
    </w:pPr>
  </w:style>
  <w:style w:type="paragraph" w:styleId="4">
    <w:name w:val="toc 6"/>
    <w:basedOn w:val="1"/>
    <w:next w:val="1"/>
    <w:qFormat/>
    <w:uiPriority w:val="0"/>
    <w:pPr>
      <w:autoSpaceDE w:val="0"/>
      <w:autoSpaceDN w:val="0"/>
      <w:adjustRightInd w:val="0"/>
      <w:ind w:left="2100" w:leftChars="1000"/>
      <w:jc w:val="left"/>
    </w:pPr>
    <w:rPr>
      <w:sz w:val="20"/>
    </w:rPr>
  </w:style>
  <w:style w:type="paragraph" w:styleId="6">
    <w:name w:val="Balloon Text"/>
    <w:basedOn w:val="1"/>
    <w:link w:val="25"/>
    <w:qFormat/>
    <w:uiPriority w:val="99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99"/>
    <w:rPr>
      <w:color w:val="0066CC"/>
      <w:u w:val="none"/>
    </w:rPr>
  </w:style>
  <w:style w:type="character" w:styleId="15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styleId="16">
    <w:name w:val="HTML Definition"/>
    <w:basedOn w:val="12"/>
    <w:qFormat/>
    <w:uiPriority w:val="99"/>
    <w:rPr>
      <w:i/>
      <w:iCs/>
    </w:rPr>
  </w:style>
  <w:style w:type="character" w:styleId="17">
    <w:name w:val="Hyperlink"/>
    <w:basedOn w:val="12"/>
    <w:qFormat/>
    <w:uiPriority w:val="99"/>
    <w:rPr>
      <w:color w:val="0066CC"/>
      <w:u w:val="none"/>
    </w:rPr>
  </w:style>
  <w:style w:type="character" w:styleId="18">
    <w:name w:val="HTML Code"/>
    <w:basedOn w:val="12"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9">
    <w:name w:val="HTML Keyboard"/>
    <w:basedOn w:val="12"/>
    <w:qFormat/>
    <w:uiPriority w:val="99"/>
    <w:rPr>
      <w:rFonts w:ascii="serif" w:hAnsi="serif" w:eastAsia="serif" w:cs="serif"/>
      <w:sz w:val="21"/>
      <w:szCs w:val="21"/>
    </w:rPr>
  </w:style>
  <w:style w:type="character" w:styleId="20">
    <w:name w:val="HTML Sample"/>
    <w:basedOn w:val="12"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21">
    <w:name w:val="正文文本 Char"/>
    <w:basedOn w:val="12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2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23">
    <w:name w:val="传真标题"/>
    <w:basedOn w:val="1"/>
    <w:qFormat/>
    <w:uiPriority w:val="0"/>
    <w:pPr>
      <w:spacing w:before="240" w:after="60"/>
    </w:pPr>
  </w:style>
  <w:style w:type="paragraph" w:customStyle="1" w:styleId="24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25">
    <w:name w:val="批注框文本 Char"/>
    <w:basedOn w:val="12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6">
    <w:name w:val="页眉 Char"/>
    <w:basedOn w:val="12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7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Normal Indent"/>
    <w:basedOn w:val="1"/>
    <w:qFormat/>
    <w:uiPriority w:val="0"/>
    <w:pPr>
      <w:widowControl/>
      <w:ind w:firstLine="420"/>
      <w:jc w:val="left"/>
    </w:pPr>
    <w:rPr>
      <w:rFonts w:ascii="Times New Roman" w:hAnsi="Times New Roman" w:eastAsia="宋体" w:cs="Times New Roman"/>
      <w:kern w:val="0"/>
      <w:szCs w:val="20"/>
    </w:rPr>
  </w:style>
  <w:style w:type="table" w:customStyle="1" w:styleId="30">
    <w:name w:val="网格型1"/>
    <w:basedOn w:val="10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1449</Words>
  <Characters>1908</Characters>
  <Paragraphs>234</Paragraphs>
  <TotalTime>0</TotalTime>
  <ScaleCrop>false</ScaleCrop>
  <LinksUpToDate>false</LinksUpToDate>
  <CharactersWithSpaces>1975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2021-05-13T06:20:00Z</dcterms:created>
  <dc:creator>微软用户</dc:creator>
  <cp:lastModifiedBy>张俐敏</cp:lastModifiedBy>
  <cp:lastPrinted>2020-09-24T08:21:00Z</cp:lastPrinted>
  <dcterms:modified xsi:type="dcterms:W3CDTF">2024-01-19T04:29:43Z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88162B15851E40FBA9DE7883C3E89FCF_13</vt:lpwstr>
  </property>
</Properties>
</file>