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pacing w:after="240" w:line="240" w:lineRule="auto"/>
        <w:ind w:left="0"/>
        <w:rPr>
          <w:rFonts w:ascii="微软雅黑" w:hAnsi="微软雅黑" w:eastAsia="微软雅黑"/>
          <w:spacing w:val="0"/>
          <w:sz w:val="52"/>
          <w:szCs w:val="52"/>
          <w:shd w:val="pct10" w:color="auto" w:fill="FFFFFF"/>
        </w:rPr>
      </w:pPr>
      <w:r>
        <w:rPr>
          <w:rFonts w:hint="eastAsia" w:ascii="微软雅黑" w:hAnsi="微软雅黑" w:eastAsia="微软雅黑"/>
          <w:spacing w:val="0"/>
          <w:sz w:val="52"/>
          <w:szCs w:val="52"/>
          <w:shd w:val="pct10" w:color="auto" w:fill="FFFFFF"/>
        </w:rPr>
        <w:t xml:space="preserve">采价单 </w:t>
      </w:r>
      <w:r>
        <w:rPr>
          <w:rFonts w:ascii="微软雅黑" w:hAnsi="微软雅黑" w:eastAsia="微软雅黑"/>
          <w:spacing w:val="0"/>
          <w:sz w:val="52"/>
          <w:szCs w:val="52"/>
          <w:shd w:val="pct10" w:color="auto" w:fill="FFFFFF"/>
        </w:rPr>
        <w:t xml:space="preserve">                         </w:t>
      </w:r>
    </w:p>
    <w:tbl>
      <w:tblPr>
        <w:tblStyle w:val="8"/>
        <w:tblW w:w="8582" w:type="dxa"/>
        <w:jc w:val="center"/>
        <w:tblLayout w:type="fixed"/>
        <w:tblCellMar>
          <w:top w:w="0" w:type="dxa"/>
          <w:left w:w="0" w:type="dxa"/>
          <w:bottom w:w="0" w:type="dxa"/>
          <w:right w:w="0" w:type="dxa"/>
        </w:tblCellMar>
      </w:tblPr>
      <w:tblGrid>
        <w:gridCol w:w="1134"/>
        <w:gridCol w:w="3685"/>
        <w:gridCol w:w="851"/>
        <w:gridCol w:w="2912"/>
      </w:tblGrid>
      <w:tr>
        <w:trPr>
          <w:jc w:val="center"/>
        </w:trPr>
        <w:tc>
          <w:tcPr>
            <w:tcW w:w="1134" w:type="dxa"/>
            <w:vAlign w:val="center"/>
          </w:tcPr>
          <w:p>
            <w:pPr>
              <w:pStyle w:val="15"/>
              <w:ind w:right="-278" w:rightChars="-139"/>
              <w:jc w:val="both"/>
              <w:rPr>
                <w:rStyle w:val="14"/>
                <w:rFonts w:ascii="微软雅黑" w:hAnsi="微软雅黑" w:eastAsia="微软雅黑"/>
                <w:sz w:val="24"/>
              </w:rPr>
            </w:pPr>
            <w:r>
              <w:rPr>
                <w:rStyle w:val="14"/>
                <w:rFonts w:hint="eastAsia" w:ascii="微软雅黑" w:hAnsi="微软雅黑" w:eastAsia="微软雅黑"/>
                <w:sz w:val="24"/>
              </w:rPr>
              <w:t>报价单位：</w:t>
            </w:r>
          </w:p>
        </w:tc>
        <w:tc>
          <w:tcPr>
            <w:tcW w:w="3685" w:type="dxa"/>
            <w:tcBorders>
              <w:bottom w:val="single" w:color="auto" w:sz="4" w:space="0"/>
            </w:tcBorders>
            <w:vAlign w:val="center"/>
          </w:tcPr>
          <w:p>
            <w:pPr>
              <w:pStyle w:val="15"/>
              <w:jc w:val="both"/>
              <w:rPr>
                <w:sz w:val="21"/>
              </w:rPr>
            </w:pPr>
          </w:p>
        </w:tc>
        <w:tc>
          <w:tcPr>
            <w:tcW w:w="851" w:type="dxa"/>
            <w:vAlign w:val="center"/>
          </w:tcPr>
          <w:p>
            <w:pPr>
              <w:pStyle w:val="15"/>
              <w:jc w:val="both"/>
              <w:rPr>
                <w:rFonts w:ascii="微软雅黑" w:hAnsi="微软雅黑" w:eastAsia="微软雅黑"/>
                <w:sz w:val="24"/>
              </w:rPr>
            </w:pPr>
            <w:r>
              <w:rPr>
                <w:rStyle w:val="14"/>
                <w:rFonts w:hint="eastAsia" w:ascii="微软雅黑" w:hAnsi="微软雅黑" w:eastAsia="微软雅黑"/>
                <w:sz w:val="24"/>
              </w:rPr>
              <w:t>联系人：</w:t>
            </w:r>
          </w:p>
        </w:tc>
        <w:tc>
          <w:tcPr>
            <w:tcW w:w="2912" w:type="dxa"/>
            <w:tcBorders>
              <w:bottom w:val="single" w:color="auto" w:sz="4" w:space="0"/>
            </w:tcBorders>
            <w:vAlign w:val="center"/>
          </w:tcPr>
          <w:p>
            <w:pPr>
              <w:pStyle w:val="15"/>
              <w:ind w:firstLine="290" w:firstLineChars="121"/>
              <w:jc w:val="both"/>
              <w:rPr>
                <w:sz w:val="24"/>
              </w:rPr>
            </w:pPr>
          </w:p>
        </w:tc>
      </w:tr>
      <w:tr>
        <w:trPr>
          <w:jc w:val="center"/>
        </w:trPr>
        <w:tc>
          <w:tcPr>
            <w:tcW w:w="1134" w:type="dxa"/>
            <w:vAlign w:val="center"/>
          </w:tcPr>
          <w:p>
            <w:pPr>
              <w:pStyle w:val="15"/>
              <w:ind w:right="-178" w:rightChars="-89"/>
              <w:jc w:val="both"/>
              <w:rPr>
                <w:rStyle w:val="14"/>
                <w:rFonts w:ascii="微软雅黑" w:hAnsi="微软雅黑" w:eastAsia="微软雅黑"/>
                <w:sz w:val="24"/>
              </w:rPr>
            </w:pPr>
            <w:r>
              <w:rPr>
                <w:rStyle w:val="14"/>
                <w:rFonts w:hint="eastAsia" w:ascii="微软雅黑" w:hAnsi="微软雅黑" w:eastAsia="微软雅黑"/>
                <w:sz w:val="24"/>
              </w:rPr>
              <w:t>联系电话：</w:t>
            </w:r>
          </w:p>
        </w:tc>
        <w:tc>
          <w:tcPr>
            <w:tcW w:w="3685" w:type="dxa"/>
            <w:tcBorders>
              <w:top w:val="single" w:color="auto" w:sz="4" w:space="0"/>
              <w:bottom w:val="single" w:color="auto" w:sz="4" w:space="0"/>
            </w:tcBorders>
            <w:vAlign w:val="center"/>
          </w:tcPr>
          <w:p>
            <w:pPr>
              <w:pStyle w:val="15"/>
              <w:jc w:val="both"/>
              <w:rPr>
                <w:sz w:val="21"/>
              </w:rPr>
            </w:pPr>
            <w:r>
              <w:rPr>
                <w:rFonts w:hint="eastAsia"/>
                <w:sz w:val="21"/>
              </w:rPr>
              <w:t xml:space="preserve"> </w:t>
            </w:r>
            <w:r>
              <w:rPr>
                <w:sz w:val="21"/>
              </w:rPr>
              <w:t xml:space="preserve"> </w:t>
            </w:r>
          </w:p>
        </w:tc>
        <w:tc>
          <w:tcPr>
            <w:tcW w:w="851" w:type="dxa"/>
            <w:vAlign w:val="center"/>
          </w:tcPr>
          <w:p>
            <w:pPr>
              <w:pStyle w:val="15"/>
              <w:jc w:val="both"/>
              <w:rPr>
                <w:rFonts w:ascii="微软雅黑" w:hAnsi="微软雅黑" w:eastAsia="微软雅黑"/>
                <w:sz w:val="24"/>
              </w:rPr>
            </w:pPr>
            <w:r>
              <w:rPr>
                <w:rStyle w:val="14"/>
                <w:rFonts w:hint="eastAsia" w:ascii="微软雅黑" w:hAnsi="微软雅黑" w:eastAsia="微软雅黑"/>
                <w:sz w:val="24"/>
              </w:rPr>
              <w:t>日期：</w:t>
            </w:r>
          </w:p>
        </w:tc>
        <w:tc>
          <w:tcPr>
            <w:tcW w:w="2912" w:type="dxa"/>
            <w:tcBorders>
              <w:top w:val="single" w:color="auto" w:sz="4" w:space="0"/>
              <w:bottom w:val="single" w:color="auto" w:sz="4" w:space="0"/>
            </w:tcBorders>
            <w:vAlign w:val="center"/>
          </w:tcPr>
          <w:p>
            <w:pPr>
              <w:pStyle w:val="15"/>
              <w:ind w:firstLine="290" w:firstLineChars="121"/>
              <w:jc w:val="both"/>
              <w:rPr>
                <w:sz w:val="24"/>
              </w:rPr>
            </w:pPr>
          </w:p>
        </w:tc>
      </w:tr>
      <w:tr>
        <w:trPr>
          <w:jc w:val="center"/>
        </w:trPr>
        <w:tc>
          <w:tcPr>
            <w:tcW w:w="1134" w:type="dxa"/>
            <w:vAlign w:val="center"/>
          </w:tcPr>
          <w:p>
            <w:pPr>
              <w:pStyle w:val="15"/>
              <w:jc w:val="both"/>
              <w:rPr>
                <w:rStyle w:val="14"/>
                <w:rFonts w:ascii="微软雅黑" w:hAnsi="微软雅黑" w:eastAsia="微软雅黑"/>
                <w:sz w:val="24"/>
              </w:rPr>
            </w:pPr>
            <w:r>
              <w:rPr>
                <w:rStyle w:val="14"/>
                <w:rFonts w:hint="eastAsia" w:ascii="微软雅黑" w:hAnsi="微软雅黑" w:eastAsia="微软雅黑"/>
                <w:sz w:val="24"/>
              </w:rPr>
              <w:t>主题：</w:t>
            </w:r>
          </w:p>
        </w:tc>
        <w:tc>
          <w:tcPr>
            <w:tcW w:w="3685" w:type="dxa"/>
            <w:tcBorders>
              <w:top w:val="single" w:color="auto" w:sz="4" w:space="0"/>
              <w:bottom w:val="single" w:color="auto" w:sz="4" w:space="0"/>
            </w:tcBorders>
            <w:vAlign w:val="center"/>
          </w:tcPr>
          <w:p>
            <w:pPr>
              <w:rPr>
                <w:rFonts w:hint="default" w:eastAsia="宋体"/>
                <w:sz w:val="24"/>
                <w:szCs w:val="24"/>
                <w:lang w:val="en-US" w:eastAsia="zh-CN"/>
              </w:rPr>
            </w:pPr>
            <w:r>
              <w:rPr>
                <w:rFonts w:hint="eastAsia"/>
                <w:sz w:val="24"/>
                <w:szCs w:val="24"/>
                <w:lang w:val="en-US" w:eastAsia="zh-CN"/>
              </w:rPr>
              <w:t>劳模工匠馆LED显示屏</w:t>
            </w:r>
          </w:p>
        </w:tc>
        <w:tc>
          <w:tcPr>
            <w:tcW w:w="851" w:type="dxa"/>
            <w:vAlign w:val="center"/>
          </w:tcPr>
          <w:p>
            <w:pPr>
              <w:pStyle w:val="15"/>
              <w:jc w:val="both"/>
              <w:rPr>
                <w:rFonts w:ascii="微软雅黑" w:hAnsi="微软雅黑" w:eastAsia="微软雅黑"/>
                <w:sz w:val="24"/>
              </w:rPr>
            </w:pPr>
            <w:r>
              <w:rPr>
                <w:rStyle w:val="14"/>
                <w:rFonts w:hint="eastAsia" w:ascii="微软雅黑" w:hAnsi="微软雅黑" w:eastAsia="微软雅黑"/>
                <w:sz w:val="24"/>
              </w:rPr>
              <w:t>页数：</w:t>
            </w:r>
          </w:p>
        </w:tc>
        <w:tc>
          <w:tcPr>
            <w:tcW w:w="2912" w:type="dxa"/>
            <w:tcBorders>
              <w:top w:val="single" w:color="auto" w:sz="4" w:space="0"/>
              <w:bottom w:val="single" w:color="auto" w:sz="4" w:space="0"/>
            </w:tcBorders>
            <w:vAlign w:val="center"/>
          </w:tcPr>
          <w:p>
            <w:pPr>
              <w:pStyle w:val="15"/>
              <w:ind w:firstLine="290" w:firstLineChars="121"/>
              <w:jc w:val="both"/>
              <w:rPr>
                <w:sz w:val="24"/>
              </w:rPr>
            </w:pPr>
          </w:p>
        </w:tc>
      </w:tr>
    </w:tbl>
    <w:tbl>
      <w:tblPr>
        <w:tblStyle w:val="9"/>
        <w:tblpPr w:leftFromText="180" w:rightFromText="180" w:vertAnchor="text" w:horzAnchor="margin" w:tblpXSpec="center" w:tblpY="724"/>
        <w:tblW w:w="10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705"/>
        <w:gridCol w:w="5220"/>
        <w:gridCol w:w="780"/>
        <w:gridCol w:w="840"/>
        <w:gridCol w:w="974"/>
        <w:gridCol w:w="1214"/>
      </w:tblGrid>
      <w:tr>
        <w:trPr>
          <w:trHeight w:val="1247" w:hRule="atLeast"/>
          <w:jc w:val="center"/>
        </w:trPr>
        <w:tc>
          <w:tcPr>
            <w:tcW w:w="600" w:type="dxa"/>
            <w:vAlign w:val="center"/>
          </w:tcPr>
          <w:p>
            <w:pPr>
              <w:pStyle w:val="7"/>
              <w:widowControl w:val="0"/>
              <w:jc w:val="center"/>
              <w:rPr>
                <w:rStyle w:val="11"/>
                <w:b w:val="0"/>
                <w:szCs w:val="18"/>
              </w:rPr>
            </w:pPr>
            <w:r>
              <w:rPr>
                <w:rStyle w:val="11"/>
                <w:rFonts w:hint="eastAsia"/>
                <w:szCs w:val="18"/>
              </w:rPr>
              <w:t>序号</w:t>
            </w:r>
          </w:p>
        </w:tc>
        <w:tc>
          <w:tcPr>
            <w:tcW w:w="705" w:type="dxa"/>
            <w:vAlign w:val="center"/>
          </w:tcPr>
          <w:p>
            <w:pPr>
              <w:pStyle w:val="7"/>
              <w:widowControl w:val="0"/>
              <w:jc w:val="center"/>
              <w:rPr>
                <w:rStyle w:val="11"/>
                <w:b w:val="0"/>
                <w:szCs w:val="18"/>
              </w:rPr>
            </w:pPr>
            <w:r>
              <w:rPr>
                <w:rStyle w:val="11"/>
                <w:rFonts w:hint="eastAsia"/>
                <w:szCs w:val="18"/>
              </w:rPr>
              <w:t>名称</w:t>
            </w:r>
          </w:p>
        </w:tc>
        <w:tc>
          <w:tcPr>
            <w:tcW w:w="5220" w:type="dxa"/>
            <w:vAlign w:val="center"/>
          </w:tcPr>
          <w:p>
            <w:pPr>
              <w:pStyle w:val="7"/>
              <w:widowControl w:val="0"/>
              <w:jc w:val="center"/>
              <w:rPr>
                <w:rStyle w:val="11"/>
                <w:b w:val="0"/>
                <w:szCs w:val="18"/>
              </w:rPr>
            </w:pPr>
            <w:r>
              <w:rPr>
                <w:rStyle w:val="11"/>
                <w:rFonts w:hint="eastAsia"/>
                <w:szCs w:val="18"/>
              </w:rPr>
              <w:t>型号或规格</w:t>
            </w:r>
          </w:p>
        </w:tc>
        <w:tc>
          <w:tcPr>
            <w:tcW w:w="780" w:type="dxa"/>
            <w:vAlign w:val="center"/>
          </w:tcPr>
          <w:p>
            <w:pPr>
              <w:pStyle w:val="7"/>
              <w:widowControl w:val="0"/>
              <w:jc w:val="center"/>
              <w:rPr>
                <w:rStyle w:val="11"/>
                <w:rFonts w:hint="eastAsia" w:eastAsia="宋体"/>
                <w:szCs w:val="18"/>
                <w:lang w:eastAsia="zh-CN"/>
              </w:rPr>
            </w:pPr>
            <w:r>
              <w:rPr>
                <w:rStyle w:val="11"/>
                <w:rFonts w:hint="eastAsia"/>
                <w:szCs w:val="18"/>
                <w:lang w:val="en-US" w:eastAsia="zh-CN"/>
              </w:rPr>
              <w:t>数量</w:t>
            </w:r>
          </w:p>
        </w:tc>
        <w:tc>
          <w:tcPr>
            <w:tcW w:w="840" w:type="dxa"/>
            <w:vAlign w:val="center"/>
          </w:tcPr>
          <w:p>
            <w:pPr>
              <w:pStyle w:val="7"/>
              <w:widowControl w:val="0"/>
              <w:jc w:val="center"/>
              <w:rPr>
                <w:rStyle w:val="11"/>
                <w:b w:val="0"/>
                <w:szCs w:val="18"/>
              </w:rPr>
            </w:pPr>
            <w:r>
              <w:rPr>
                <w:rStyle w:val="11"/>
                <w:rFonts w:hint="eastAsia"/>
                <w:szCs w:val="18"/>
                <w:lang w:val="en-US" w:eastAsia="zh-CN"/>
              </w:rPr>
              <w:t>单价</w:t>
            </w:r>
            <w:r>
              <w:rPr>
                <w:rStyle w:val="11"/>
                <w:rFonts w:hint="eastAsia"/>
                <w:szCs w:val="18"/>
              </w:rPr>
              <w:t>（元）</w:t>
            </w:r>
          </w:p>
        </w:tc>
        <w:tc>
          <w:tcPr>
            <w:tcW w:w="974" w:type="dxa"/>
            <w:vAlign w:val="center"/>
          </w:tcPr>
          <w:p>
            <w:pPr>
              <w:pStyle w:val="7"/>
              <w:widowControl w:val="0"/>
              <w:jc w:val="center"/>
              <w:rPr>
                <w:rStyle w:val="11"/>
                <w:b w:val="0"/>
                <w:szCs w:val="18"/>
              </w:rPr>
            </w:pPr>
            <w:r>
              <w:rPr>
                <w:rStyle w:val="11"/>
                <w:rFonts w:hint="eastAsia"/>
                <w:szCs w:val="18"/>
              </w:rPr>
              <w:t>金额（元）</w:t>
            </w:r>
          </w:p>
        </w:tc>
        <w:tc>
          <w:tcPr>
            <w:tcW w:w="1214" w:type="dxa"/>
            <w:vAlign w:val="center"/>
          </w:tcPr>
          <w:p>
            <w:pPr>
              <w:pStyle w:val="7"/>
              <w:widowControl w:val="0"/>
              <w:jc w:val="center"/>
              <w:rPr>
                <w:rStyle w:val="11"/>
                <w:rFonts w:hint="default" w:eastAsia="宋体"/>
                <w:szCs w:val="18"/>
                <w:lang w:val="en-US" w:eastAsia="zh-CN"/>
              </w:rPr>
            </w:pPr>
            <w:r>
              <w:rPr>
                <w:rStyle w:val="11"/>
                <w:rFonts w:hint="eastAsia"/>
                <w:szCs w:val="18"/>
                <w:lang w:val="en-US" w:eastAsia="zh-CN"/>
              </w:rPr>
              <w:t>所投品牌型号</w:t>
            </w:r>
          </w:p>
        </w:tc>
      </w:tr>
      <w:tr>
        <w:trPr>
          <w:trHeight w:val="1247" w:hRule="atLeast"/>
          <w:jc w:val="center"/>
        </w:trPr>
        <w:tc>
          <w:tcPr>
            <w:tcW w:w="10333" w:type="dxa"/>
            <w:gridSpan w:val="7"/>
            <w:vAlign w:val="center"/>
          </w:tcPr>
          <w:p>
            <w:pPr>
              <w:rPr>
                <w:rStyle w:val="11"/>
                <w:rFonts w:hint="eastAsia" w:ascii="宋体" w:hAnsi="宋体" w:cs="宋体"/>
                <w:sz w:val="24"/>
                <w:szCs w:val="18"/>
                <w:lang w:val="en-US" w:eastAsia="zh-CN"/>
              </w:rPr>
            </w:pPr>
            <w:r>
              <w:rPr>
                <w:rFonts w:hint="default"/>
                <w:lang w:val="en-US" w:eastAsia="zh-CN"/>
              </w:rPr>
              <w:t>▲</w:t>
            </w:r>
            <w:r>
              <w:rPr>
                <w:rStyle w:val="11"/>
                <w:rFonts w:hint="eastAsia" w:ascii="宋体" w:hAnsi="宋体" w:cs="宋体"/>
                <w:sz w:val="24"/>
                <w:szCs w:val="18"/>
                <w:lang w:val="en-US" w:eastAsia="zh-CN"/>
              </w:rPr>
              <w:t>LED</w:t>
            </w:r>
            <w:r>
              <w:rPr>
                <w:rStyle w:val="11"/>
                <w:rFonts w:hint="eastAsia" w:ascii="宋体" w:hAnsi="宋体" w:cs="宋体"/>
                <w:sz w:val="24"/>
                <w:szCs w:val="18"/>
              </w:rPr>
              <w:t>推荐品牌：</w:t>
            </w:r>
            <w:r>
              <w:rPr>
                <w:rStyle w:val="11"/>
                <w:rFonts w:hint="eastAsia" w:ascii="宋体" w:hAnsi="宋体" w:cs="宋体"/>
                <w:sz w:val="24"/>
                <w:szCs w:val="18"/>
                <w:lang w:val="en-US" w:eastAsia="zh-CN"/>
              </w:rPr>
              <w:t>上海三思</w:t>
            </w:r>
            <w:r>
              <w:rPr>
                <w:rStyle w:val="11"/>
                <w:rFonts w:ascii="宋体" w:hAnsi="宋体" w:cs="宋体"/>
                <w:sz w:val="24"/>
                <w:szCs w:val="18"/>
              </w:rPr>
              <w:t xml:space="preserve"> ，</w:t>
            </w:r>
            <w:r>
              <w:rPr>
                <w:rStyle w:val="11"/>
                <w:rFonts w:hint="eastAsia" w:ascii="宋体" w:hAnsi="宋体" w:cs="宋体"/>
                <w:sz w:val="24"/>
                <w:szCs w:val="18"/>
                <w:lang w:val="en-US" w:eastAsia="zh-CN"/>
              </w:rPr>
              <w:t>强力巨彩</w:t>
            </w:r>
            <w:r>
              <w:rPr>
                <w:rStyle w:val="11"/>
                <w:rFonts w:ascii="宋体" w:hAnsi="宋体" w:cs="宋体"/>
                <w:sz w:val="24"/>
                <w:szCs w:val="18"/>
              </w:rPr>
              <w:t xml:space="preserve"> ，</w:t>
            </w:r>
            <w:r>
              <w:rPr>
                <w:rStyle w:val="11"/>
                <w:rFonts w:hint="eastAsia" w:ascii="宋体" w:hAnsi="宋体" w:cs="宋体"/>
                <w:sz w:val="24"/>
                <w:szCs w:val="18"/>
                <w:lang w:val="en-US" w:eastAsia="zh-CN"/>
              </w:rPr>
              <w:t>利亚德</w:t>
            </w:r>
          </w:p>
          <w:p>
            <w:pPr>
              <w:rPr>
                <w:rStyle w:val="11"/>
                <w:rFonts w:hint="eastAsia" w:ascii="宋体" w:hAnsi="宋体" w:cs="宋体"/>
                <w:sz w:val="24"/>
                <w:szCs w:val="18"/>
                <w:lang w:val="en-US" w:eastAsia="zh-CN"/>
              </w:rPr>
            </w:pPr>
            <w:r>
              <w:rPr>
                <w:rFonts w:hint="default"/>
                <w:lang w:val="en-US" w:eastAsia="zh-CN"/>
              </w:rPr>
              <w:t>▲</w:t>
            </w:r>
            <w:r>
              <w:rPr>
                <w:rStyle w:val="11"/>
                <w:rFonts w:hint="eastAsia" w:ascii="宋体" w:hAnsi="宋体" w:cs="宋体"/>
                <w:sz w:val="24"/>
                <w:szCs w:val="18"/>
                <w:lang w:val="en-US" w:eastAsia="zh-CN"/>
              </w:rPr>
              <w:t>多媒体推荐品牌 ：视音微云，BOADPA，TSOA</w:t>
            </w:r>
          </w:p>
        </w:tc>
      </w:tr>
      <w:tr>
        <w:trPr>
          <w:trHeight w:val="567" w:hRule="atLeast"/>
          <w:jc w:val="center"/>
        </w:trPr>
        <w:tc>
          <w:tcPr>
            <w:tcW w:w="600" w:type="dxa"/>
            <w:vAlign w:val="center"/>
          </w:tcPr>
          <w:p>
            <w:pPr>
              <w:jc w:val="center"/>
              <w:rPr>
                <w:rStyle w:val="11"/>
                <w:rFonts w:ascii="华文楷体" w:hAnsi="华文楷体" w:eastAsia="华文楷体"/>
                <w:b w:val="0"/>
                <w:bCs w:val="0"/>
                <w:sz w:val="21"/>
                <w:szCs w:val="21"/>
              </w:rPr>
            </w:pPr>
            <w:r>
              <w:rPr>
                <w:rStyle w:val="11"/>
                <w:rFonts w:ascii="华文楷体" w:hAnsi="华文楷体" w:eastAsia="华文楷体"/>
                <w:b w:val="0"/>
                <w:bCs w:val="0"/>
                <w:sz w:val="21"/>
                <w:szCs w:val="21"/>
              </w:rPr>
              <w:t>1</w:t>
            </w:r>
          </w:p>
        </w:tc>
        <w:tc>
          <w:tcPr>
            <w:tcW w:w="705" w:type="dxa"/>
            <w:vAlign w:val="center"/>
          </w:tcPr>
          <w:p>
            <w:pPr>
              <w:rPr>
                <w:rFonts w:ascii="华文楷体" w:hAnsi="华文楷体" w:eastAsia="华文楷体"/>
                <w:sz w:val="21"/>
                <w:szCs w:val="21"/>
              </w:rPr>
            </w:pPr>
            <w:r>
              <w:rPr>
                <w:rFonts w:hint="eastAsia" w:ascii="宋体" w:hAnsi="宋体" w:cs="宋体"/>
                <w:color w:val="000000"/>
              </w:rPr>
              <w:t>室内P</w:t>
            </w:r>
            <w:r>
              <w:rPr>
                <w:rFonts w:hint="eastAsia" w:ascii="宋体" w:hAnsi="宋体" w:cs="宋体"/>
                <w:color w:val="000000"/>
                <w:lang w:val="en-US" w:eastAsia="zh-CN"/>
              </w:rPr>
              <w:t>1.8</w:t>
            </w:r>
            <w:r>
              <w:rPr>
                <w:rFonts w:hint="eastAsia" w:ascii="宋体" w:hAnsi="宋体" w:cs="宋体"/>
                <w:color w:val="000000"/>
              </w:rPr>
              <w:t>全彩</w:t>
            </w:r>
            <w:r>
              <w:rPr>
                <w:rFonts w:hint="eastAsia" w:ascii="宋体" w:hAnsi="宋体" w:cs="宋体"/>
                <w:color w:val="000000"/>
                <w:lang w:val="en-US" w:eastAsia="zh-CN"/>
              </w:rPr>
              <w:t>高刷</w:t>
            </w:r>
            <w:r>
              <w:rPr>
                <w:rFonts w:hint="eastAsia" w:ascii="宋体" w:hAnsi="宋体" w:cs="宋体"/>
                <w:color w:val="000000"/>
              </w:rPr>
              <w:t>LED显示屏</w:t>
            </w:r>
          </w:p>
        </w:tc>
        <w:tc>
          <w:tcPr>
            <w:tcW w:w="5220" w:type="dxa"/>
            <w:vAlign w:val="center"/>
          </w:tcPr>
          <w:p>
            <w:pPr>
              <w:keepNext w:val="0"/>
              <w:keepLines w:val="0"/>
              <w:widowControl/>
              <w:numPr>
                <w:ilvl w:val="0"/>
                <w:numId w:val="1"/>
              </w:numPr>
              <w:suppressLineNumbers w:val="0"/>
              <w:jc w:val="left"/>
              <w:textAlignment w:val="center"/>
              <w:rPr>
                <w:rFonts w:hint="default"/>
                <w:lang w:val="en-US" w:eastAsia="zh-CN"/>
              </w:rPr>
            </w:pPr>
            <w:r>
              <w:rPr>
                <w:rFonts w:hint="default"/>
                <w:lang w:val="en-US" w:eastAsia="zh-CN"/>
              </w:rPr>
              <w:t>★像素点间距：≤1.8mm</w:t>
            </w:r>
            <w:r>
              <w:rPr>
                <w:rFonts w:hint="default"/>
                <w:lang w:val="en-US" w:eastAsia="zh-CN"/>
              </w:rPr>
              <w:br w:type="textWrapping"/>
            </w:r>
            <w:r>
              <w:rPr>
                <w:rFonts w:hint="default"/>
                <w:lang w:val="en-US" w:eastAsia="zh-CN"/>
              </w:rPr>
              <w:t>2、单元板分辨率：≥14792 Dots</w:t>
            </w:r>
            <w:r>
              <w:rPr>
                <w:rFonts w:hint="default"/>
                <w:lang w:val="en-US" w:eastAsia="zh-CN"/>
              </w:rPr>
              <w:br w:type="textWrapping"/>
            </w:r>
            <w:r>
              <w:rPr>
                <w:rFonts w:hint="default"/>
                <w:lang w:val="en-US" w:eastAsia="zh-CN"/>
              </w:rPr>
              <w:t>3、★刷新率：≥3840Hz，支持通过配套控制软件调节刷新率设置选项</w:t>
            </w:r>
            <w:r>
              <w:rPr>
                <w:rFonts w:hint="default"/>
                <w:lang w:val="en-US" w:eastAsia="zh-CN"/>
              </w:rPr>
              <w:br w:type="textWrapping"/>
            </w:r>
            <w:r>
              <w:rPr>
                <w:rFonts w:hint="default"/>
                <w:lang w:val="en-US" w:eastAsia="zh-CN"/>
              </w:rPr>
              <w:t>4、像素构成：1R、1G、1B</w:t>
            </w:r>
            <w:r>
              <w:rPr>
                <w:rFonts w:hint="default"/>
                <w:lang w:val="en-US" w:eastAsia="zh-CN"/>
              </w:rPr>
              <w:br w:type="textWrapping"/>
            </w:r>
            <w:r>
              <w:rPr>
                <w:rFonts w:hint="default"/>
                <w:lang w:val="en-US" w:eastAsia="zh-CN"/>
              </w:rPr>
              <w:t>5、★封装方式：SMD表贴三合一，铜线封装，五面黑灯，表面不反光</w:t>
            </w:r>
            <w:r>
              <w:rPr>
                <w:rFonts w:hint="default"/>
                <w:lang w:val="en-US" w:eastAsia="zh-CN"/>
              </w:rPr>
              <w:br w:type="textWrapping"/>
            </w:r>
            <w:r>
              <w:rPr>
                <w:rFonts w:hint="default"/>
                <w:lang w:val="en-US" w:eastAsia="zh-CN"/>
              </w:rPr>
              <w:t>6、驱动方式：恒流驱动</w:t>
            </w:r>
            <w:r>
              <w:rPr>
                <w:rFonts w:hint="default"/>
                <w:lang w:val="en-US" w:eastAsia="zh-CN"/>
              </w:rPr>
              <w:br w:type="textWrapping"/>
            </w:r>
            <w:r>
              <w:rPr>
                <w:rFonts w:hint="default"/>
                <w:lang w:val="en-US" w:eastAsia="zh-CN"/>
              </w:rPr>
              <w:t>7、控制方式：同步控制系统</w:t>
            </w:r>
            <w:r>
              <w:rPr>
                <w:rFonts w:hint="default"/>
                <w:lang w:val="en-US" w:eastAsia="zh-CN"/>
              </w:rPr>
              <w:br w:type="textWrapping"/>
            </w:r>
            <w:r>
              <w:rPr>
                <w:rFonts w:hint="default"/>
                <w:lang w:val="en-US" w:eastAsia="zh-CN"/>
              </w:rPr>
              <w:t>8、维护方式：前后双向维护</w:t>
            </w:r>
            <w:r>
              <w:rPr>
                <w:rFonts w:hint="default"/>
                <w:lang w:val="en-US" w:eastAsia="zh-CN"/>
              </w:rPr>
              <w:br w:type="textWrapping"/>
            </w:r>
            <w:r>
              <w:rPr>
                <w:rFonts w:hint="default"/>
                <w:lang w:val="en-US" w:eastAsia="zh-CN"/>
              </w:rPr>
              <w:t>9、整屏平整度≤0.04mm</w:t>
            </w:r>
            <w:r>
              <w:rPr>
                <w:rFonts w:hint="default"/>
                <w:lang w:val="en-US" w:eastAsia="zh-CN"/>
              </w:rPr>
              <w:br w:type="textWrapping"/>
            </w:r>
            <w:r>
              <w:rPr>
                <w:rFonts w:hint="default"/>
                <w:lang w:val="en-US" w:eastAsia="zh-CN"/>
              </w:rPr>
              <w:t>10、▲白平衡亮度：0-700cd/㎡可调；亮度调节：0-100%亮度可调，256级手动/自动调节，屏幕亮度具有随环境照度的变化任意调整功能；亮度均匀性：≥99%</w:t>
            </w:r>
            <w:r>
              <w:rPr>
                <w:rFonts w:hint="default"/>
                <w:lang w:val="en-US" w:eastAsia="zh-CN"/>
              </w:rPr>
              <w:br w:type="textWrapping"/>
            </w:r>
            <w:r>
              <w:rPr>
                <w:rFonts w:hint="default"/>
                <w:lang w:val="en-US" w:eastAsia="zh-CN"/>
              </w:rPr>
              <w:t>11、色温800K-18000K可调；白平衡状态下色温在6500K±5%；色温为6500K时，100%75%50%25%档电平白场调节色温误差≤100K"</w:t>
            </w:r>
            <w:r>
              <w:rPr>
                <w:rFonts w:hint="default"/>
                <w:lang w:val="en-US" w:eastAsia="zh-CN"/>
              </w:rPr>
              <w:br w:type="textWrapping"/>
            </w:r>
            <w:r>
              <w:rPr>
                <w:rFonts w:hint="default"/>
                <w:lang w:val="en-US" w:eastAsia="zh-CN"/>
              </w:rPr>
              <w:t>12、水平视角≥170°；垂直视角≥170°</w:t>
            </w:r>
            <w:r>
              <w:rPr>
                <w:rFonts w:hint="default"/>
                <w:lang w:val="en-US" w:eastAsia="zh-CN"/>
              </w:rPr>
              <w:br w:type="textWrapping"/>
            </w:r>
            <w:r>
              <w:rPr>
                <w:rFonts w:hint="default"/>
                <w:lang w:val="en-US" w:eastAsia="zh-CN"/>
              </w:rPr>
              <w:t>13、对比度≥8500：1</w:t>
            </w:r>
            <w:r>
              <w:rPr>
                <w:rFonts w:hint="default"/>
                <w:lang w:val="en-US" w:eastAsia="zh-CN"/>
              </w:rPr>
              <w:br w:type="textWrapping"/>
            </w:r>
            <w:r>
              <w:rPr>
                <w:rFonts w:hint="default"/>
                <w:lang w:val="en-US" w:eastAsia="zh-CN"/>
              </w:rPr>
              <w:t>14、灰度等级≥14bit，红绿蓝各256级，可达16384级；采用EPWM 灰阶控制技术提升低灰视觉效果，100%亮度时，14bit灰度；70%亮度，14bit灰度；50%亮度，14bit灰度；20%亮度，12bit灰度，显示画面无单列或单行像素失控现象；支持0-100%亮度时，8-14bits灰度自定义设置</w:t>
            </w:r>
            <w:r>
              <w:rPr>
                <w:rFonts w:hint="default"/>
                <w:lang w:val="en-US" w:eastAsia="zh-CN"/>
              </w:rPr>
              <w:br w:type="textWrapping"/>
            </w:r>
            <w:r>
              <w:rPr>
                <w:rFonts w:hint="default"/>
                <w:lang w:val="en-US" w:eastAsia="zh-CN"/>
              </w:rPr>
              <w:t>15、峰值功耗≤300W/m²；平均功耗≤120W/m²</w:t>
            </w:r>
            <w:r>
              <w:rPr>
                <w:rFonts w:hint="default"/>
                <w:lang w:val="en-US" w:eastAsia="zh-CN"/>
              </w:rPr>
              <w:br w:type="textWrapping"/>
            </w:r>
            <w:r>
              <w:rPr>
                <w:rFonts w:hint="default"/>
                <w:lang w:val="en-US" w:eastAsia="zh-CN"/>
              </w:rPr>
              <w:t>16、供电电源：在4.2*（1±10%）VDC～4.5*（1±10%）VDC范围内能正常工作</w:t>
            </w:r>
            <w:r>
              <w:rPr>
                <w:rFonts w:hint="default"/>
                <w:lang w:val="en-US" w:eastAsia="zh-CN"/>
              </w:rPr>
              <w:br w:type="textWrapping"/>
            </w:r>
            <w:r>
              <w:rPr>
                <w:rFonts w:hint="default"/>
                <w:lang w:val="en-US" w:eastAsia="zh-CN"/>
              </w:rPr>
              <w:t>17、输入电压：支持宽压输入 在96-264VAC，支持窄压输入在200-240VAC，在该范围内能正常工作</w:t>
            </w:r>
            <w:r>
              <w:rPr>
                <w:rFonts w:hint="default"/>
                <w:lang w:val="en-US" w:eastAsia="zh-CN"/>
              </w:rPr>
              <w:br w:type="textWrapping"/>
            </w:r>
            <w:r>
              <w:rPr>
                <w:rFonts w:hint="default"/>
                <w:lang w:val="en-US" w:eastAsia="zh-CN"/>
              </w:rPr>
              <w:t>18、防护性能：具有防静电、防电磁干扰、防腐蚀、防霉菌、防虫、防潮、抗震动、抗雷击等功能；具有电源过压、过流、断电保护、分布上电措施、防护等级达到IP60</w:t>
            </w:r>
            <w:r>
              <w:rPr>
                <w:rFonts w:hint="default"/>
                <w:lang w:val="en-US" w:eastAsia="zh-CN"/>
              </w:rPr>
              <w:br w:type="textWrapping"/>
            </w:r>
            <w:r>
              <w:rPr>
                <w:rFonts w:hint="default"/>
                <w:lang w:val="en-US" w:eastAsia="zh-CN"/>
              </w:rPr>
              <w:t>19、具有列下消隐功能、倍频刷新率提升2/4/8倍、低灰偏色改善</w:t>
            </w:r>
            <w:r>
              <w:rPr>
                <w:rFonts w:hint="default"/>
                <w:lang w:val="en-US" w:eastAsia="zh-CN"/>
              </w:rPr>
              <w:br w:type="textWrapping"/>
            </w:r>
            <w:r>
              <w:rPr>
                <w:rFonts w:hint="default"/>
                <w:lang w:val="en-US" w:eastAsia="zh-CN"/>
              </w:rPr>
              <w:t>20、色坐标X、Y坐标符合SJ/T11141-2017 5.10.5规定；色度均匀性±0.001Cx、Cy内；色域空间≥120% NTSC，LED显示屏ColorSPace覆盖率≥170%YUV(PAL)</w:t>
            </w:r>
            <w:r>
              <w:rPr>
                <w:rFonts w:hint="default"/>
                <w:lang w:val="en-US" w:eastAsia="zh-CN"/>
              </w:rPr>
              <w:br w:type="textWrapping"/>
            </w:r>
            <w:r>
              <w:rPr>
                <w:rFonts w:hint="default"/>
                <w:lang w:val="en-US" w:eastAsia="zh-CN"/>
              </w:rPr>
              <w:t>21、数据记忆储存于LED显示模块箱体中，更换箱体设备时，无需重新设定参数；支持采用电源双备份，两个电源互为备份方式，任一电源故障不影响屏体正常工作；支持采用双电力备份，可以同时接入2路电力供电互为备份方式，任一电力故障不影响屏体显示；支持采用双系统备份，两套发送卡和两套接收卡互为备份方式，任一套发送卡和接收卡故障不影响屏体正常显示</w:t>
            </w:r>
            <w:r>
              <w:rPr>
                <w:rFonts w:hint="default"/>
                <w:lang w:val="en-US" w:eastAsia="zh-CN"/>
              </w:rPr>
              <w:br w:type="textWrapping"/>
            </w:r>
            <w:r>
              <w:rPr>
                <w:rFonts w:hint="default"/>
                <w:lang w:val="en-US" w:eastAsia="zh-CN"/>
              </w:rPr>
              <w:t>22、正常播放视频状态下点亮5分钟后产品表面温度升幅≤1.5℃，点亮10分钟后其温度升幅≤8℃；产品在白平衡状态下点亮5分钟后产品表面温度升幅≤8℃，点亮10分钟后其温度升幅≤18℃；产品正常使用工作达到热平衡状态后，屏体结构金属部分温度升幅≤30℃，绝缘材料温度升幅≤30℃</w:t>
            </w:r>
            <w:r>
              <w:rPr>
                <w:rFonts w:hint="default"/>
                <w:lang w:val="en-US" w:eastAsia="zh-CN"/>
              </w:rPr>
              <w:br w:type="textWrapping"/>
            </w:r>
            <w:r>
              <w:rPr>
                <w:rFonts w:hint="default"/>
                <w:lang w:val="en-US" w:eastAsia="zh-CN"/>
              </w:rPr>
              <w:t>23、产品采用高端芯片，可智能调节正常工作与睡眠状态下的节能效果（动态节能，智能息屏），开启智能节电功能比没有开启节能50%以上</w:t>
            </w:r>
            <w:r>
              <w:rPr>
                <w:rFonts w:hint="default"/>
                <w:lang w:val="en-US" w:eastAsia="zh-CN"/>
              </w:rPr>
              <w:br w:type="textWrapping"/>
            </w:r>
            <w:r>
              <w:rPr>
                <w:rFonts w:hint="default"/>
                <w:lang w:val="en-US" w:eastAsia="zh-CN"/>
              </w:rPr>
              <w:t>24、保证箱体拼接的平整度和密闭防尘性；支持箱体拼接自动对位设计；具有拼缝微调功能；箱体支持X/Y/Z六向调节，可实现屏幕上下左右拼缝及前后平整度任意调节</w:t>
            </w:r>
            <w:r>
              <w:rPr>
                <w:rFonts w:hint="default"/>
                <w:lang w:val="en-US" w:eastAsia="zh-CN"/>
              </w:rPr>
              <w:br w:type="textWrapping"/>
            </w:r>
            <w:r>
              <w:rPr>
                <w:rFonts w:hint="default"/>
                <w:lang w:val="en-US" w:eastAsia="zh-CN"/>
              </w:rPr>
              <w:t>25、屏幕表面光反射率，照度=10Lux/5600K条件下， 显示屏屏幕表面光反射率 （单位面积反射亮度）＜3.0cd/m²</w:t>
            </w:r>
            <w:r>
              <w:rPr>
                <w:rFonts w:hint="default"/>
                <w:lang w:val="en-US" w:eastAsia="zh-CN"/>
              </w:rPr>
              <w:br w:type="textWrapping"/>
            </w:r>
            <w:r>
              <w:rPr>
                <w:rFonts w:hint="default"/>
                <w:lang w:val="en-US" w:eastAsia="zh-CN"/>
              </w:rPr>
              <w:t>26、具备防蓝光护眼功能，蓝光辐射能量≤20%。蓝光辐射能量值对人眼视网膜无伤害，LED显示屏蓝光辐亮度≤0.5W.m-2.sr-1,符合肉眼观看标准。</w:t>
            </w:r>
            <w:r>
              <w:rPr>
                <w:rFonts w:hint="default"/>
                <w:lang w:val="en-US" w:eastAsia="zh-CN"/>
              </w:rPr>
              <w:br w:type="textWrapping"/>
            </w:r>
            <w:r>
              <w:rPr>
                <w:rFonts w:hint="default"/>
                <w:lang w:val="en-US" w:eastAsia="zh-CN"/>
              </w:rPr>
              <w:t>27、支持PPA碗杯结构、点胶封装、出光方式为单面发光；显示面采用高强度化学防护材质，防碰撞、耐冲击、高耐磨、抗腐蚀、防划痕，可直接擦拭LED附着力≥100N；在灯珠四侧以水平 夹角 45°的方向施加推力 15N，灯珠未破碎或脱落。</w:t>
            </w:r>
            <w:r>
              <w:rPr>
                <w:rFonts w:hint="default"/>
                <w:lang w:val="en-US" w:eastAsia="zh-CN"/>
              </w:rPr>
              <w:br w:type="textWrapping"/>
            </w:r>
            <w:r>
              <w:rPr>
                <w:rFonts w:hint="default"/>
                <w:lang w:val="en-US" w:eastAsia="zh-CN"/>
              </w:rPr>
              <w:t>28、显示屏所使用的材料及元器件均符合《SJ/T11363-2016电子信息产品中有毒有害物质的限定要求》符合环保要求的相关声明，根据《GB/T27050.1-2006合格评定供方的符合性声明第1部分：通用要求》 和《GB/T27050.2-2006合格评定供方的符合性声明第2部分：支持性文件》</w:t>
            </w:r>
            <w:r>
              <w:rPr>
                <w:rFonts w:hint="default"/>
                <w:lang w:val="en-US" w:eastAsia="zh-CN"/>
              </w:rPr>
              <w:br w:type="textWrapping"/>
            </w:r>
            <w:r>
              <w:rPr>
                <w:rFonts w:hint="default"/>
                <w:lang w:val="en-US" w:eastAsia="zh-CN"/>
              </w:rPr>
              <w:t>29、支持鬼影消除、首行暗亮消除、低灰偏色补偿、低灰均匀性、低灰横条纹消除、慢速开启、十字架消除、去坏点、毛毛虫消除、余辉消除、亮度缓慢变亮功能</w:t>
            </w:r>
            <w:r>
              <w:rPr>
                <w:rFonts w:hint="default"/>
                <w:lang w:val="en-US" w:eastAsia="zh-CN"/>
              </w:rPr>
              <w:br w:type="textWrapping"/>
            </w:r>
            <w:r>
              <w:rPr>
                <w:rFonts w:hint="default"/>
                <w:lang w:val="en-US" w:eastAsia="zh-CN"/>
              </w:rPr>
              <w:t>30、为保证产品使用安全，静电电压衰减期（±1000-±100V）≤2S；摩擦起电电压|V|≤100V</w:t>
            </w:r>
            <w:r>
              <w:rPr>
                <w:rFonts w:hint="default"/>
                <w:lang w:val="en-US" w:eastAsia="zh-CN"/>
              </w:rPr>
              <w:br w:type="textWrapping"/>
            </w:r>
            <w:r>
              <w:rPr>
                <w:rFonts w:hint="default"/>
                <w:lang w:val="en-US" w:eastAsia="zh-CN"/>
              </w:rPr>
              <w:t>31、为保证产品信息传输稳定性，辐射干扰和传导干扰，均需符合GB/T9254-2021 ClassB限值要求</w:t>
            </w:r>
            <w:r>
              <w:rPr>
                <w:rFonts w:hint="default"/>
                <w:lang w:val="en-US" w:eastAsia="zh-CN"/>
              </w:rPr>
              <w:br w:type="textWrapping"/>
            </w:r>
            <w:r>
              <w:rPr>
                <w:rFonts w:hint="default"/>
                <w:lang w:val="en-US" w:eastAsia="zh-CN"/>
              </w:rPr>
              <w:t>32、▲LED显示屏</w:t>
            </w:r>
            <w:r>
              <w:rPr>
                <w:rFonts w:hint="eastAsia"/>
                <w:lang w:val="en-US" w:eastAsia="zh-CN"/>
              </w:rPr>
              <w:t>，</w:t>
            </w:r>
            <w:r>
              <w:rPr>
                <w:rFonts w:hint="eastAsia"/>
                <w:b/>
                <w:bCs/>
                <w:lang w:val="en-US" w:eastAsia="zh-CN"/>
              </w:rPr>
              <w:t>中标后</w:t>
            </w:r>
            <w:r>
              <w:rPr>
                <w:rFonts w:hint="default"/>
                <w:b/>
                <w:bCs/>
                <w:lang w:val="en-US" w:eastAsia="zh-CN"/>
              </w:rPr>
              <w:t>提供本产品的3C认证证书复印件</w:t>
            </w:r>
            <w:r>
              <w:rPr>
                <w:rFonts w:hint="default"/>
                <w:lang w:val="en-US" w:eastAsia="zh-CN"/>
              </w:rPr>
              <w:t>。</w:t>
            </w:r>
            <w:r>
              <w:rPr>
                <w:rFonts w:hint="default"/>
                <w:lang w:val="en-US" w:eastAsia="zh-CN"/>
              </w:rPr>
              <w:br w:type="textWrapping"/>
            </w:r>
            <w:r>
              <w:rPr>
                <w:rFonts w:hint="default"/>
                <w:lang w:val="en-US" w:eastAsia="zh-CN"/>
              </w:rPr>
              <w:t>33、▲为保证所提供产品来源正规，需承诺</w:t>
            </w:r>
            <w:r>
              <w:rPr>
                <w:rFonts w:hint="default"/>
                <w:b/>
                <w:bCs/>
                <w:lang w:val="en-US" w:eastAsia="zh-CN"/>
              </w:rPr>
              <w:t>中标后在签订合同时提供加盖制造商公章的授权、质保承诺书等（承诺格式自拟）</w:t>
            </w:r>
            <w:r>
              <w:rPr>
                <w:rFonts w:hint="default"/>
                <w:lang w:val="en-US" w:eastAsia="zh-CN"/>
              </w:rPr>
              <w:br w:type="textWrapping"/>
            </w:r>
            <w:r>
              <w:rPr>
                <w:rFonts w:hint="default"/>
                <w:lang w:val="en-US" w:eastAsia="zh-CN"/>
              </w:rPr>
              <w:t>34、为了防止LED光源对人眼的伤害，LED电子显示屏产品通过TUV莱茵低蓝光认证，无视网膜蓝光危害。</w:t>
            </w:r>
          </w:p>
          <w:p>
            <w:pPr>
              <w:keepNext w:val="0"/>
              <w:keepLines w:val="0"/>
              <w:widowControl/>
              <w:numPr>
                <w:ilvl w:val="0"/>
                <w:numId w:val="0"/>
              </w:numPr>
              <w:suppressLineNumbers w:val="0"/>
              <w:jc w:val="left"/>
              <w:textAlignment w:val="center"/>
              <w:rPr>
                <w:rFonts w:ascii="??" w:hAnsi="??" w:eastAsia="??" w:cs="??"/>
                <w:i w:val="0"/>
                <w:iCs w:val="0"/>
                <w:color w:val="000000"/>
                <w:sz w:val="20"/>
                <w:szCs w:val="20"/>
                <w:u w:val="none"/>
                <w:lang w:val="en-US" w:eastAsia="zh-CN" w:bidi="ar-SA"/>
              </w:rPr>
            </w:pPr>
            <w:r>
              <w:rPr>
                <w:rFonts w:hint="default"/>
                <w:lang w:val="en-US" w:eastAsia="zh-CN"/>
              </w:rPr>
              <w:t>35、为保证产品的绿色环保性能，对人体不产生危害，LED显示屏的设计生产活动中，所有电子元器件、组装件、相关物料和过程通过国际电工委员会质量评定体系（IECQ）标准要求。</w:t>
            </w:r>
            <w:r>
              <w:rPr>
                <w:rFonts w:hint="default"/>
                <w:lang w:val="en-US" w:eastAsia="zh-CN"/>
              </w:rPr>
              <w:br w:type="textWrapping"/>
            </w:r>
            <w:r>
              <w:rPr>
                <w:rFonts w:hint="eastAsia"/>
                <w:lang w:val="en-US" w:eastAsia="zh-CN"/>
              </w:rPr>
              <w:t>36、</w:t>
            </w:r>
            <w:r>
              <w:rPr>
                <w:rFonts w:hint="default"/>
                <w:lang w:val="en-US" w:eastAsia="zh-CN"/>
              </w:rPr>
              <w:t>▲为保证消除产品中的铅、汞、镉、六价铬、多溴联苯和多溴二苯醚，利于人体健康及环境保护</w:t>
            </w:r>
            <w:r>
              <w:rPr>
                <w:rFonts w:hint="eastAsia"/>
                <w:lang w:val="en-US" w:eastAsia="zh-CN"/>
              </w:rPr>
              <w:t>。</w:t>
            </w:r>
          </w:p>
        </w:tc>
        <w:tc>
          <w:tcPr>
            <w:tcW w:w="780" w:type="dxa"/>
            <w:vAlign w:val="center"/>
          </w:tcPr>
          <w:p>
            <w:pPr>
              <w:jc w:val="center"/>
              <w:rPr>
                <w:rFonts w:ascii="华文楷体" w:hAnsi="华文楷体" w:eastAsia="华文楷体"/>
                <w:sz w:val="21"/>
                <w:szCs w:val="21"/>
              </w:rPr>
            </w:pPr>
            <w:r>
              <w:rPr>
                <w:rFonts w:hint="eastAsia" w:asciiTheme="minorEastAsia" w:hAnsiTheme="minorEastAsia" w:eastAsiaTheme="minorEastAsia"/>
                <w:sz w:val="21"/>
                <w:szCs w:val="21"/>
                <w:lang w:val="en-US" w:eastAsia="zh-CN"/>
              </w:rPr>
              <w:t>18.63</w:t>
            </w:r>
            <w:r>
              <w:rPr>
                <w:rFonts w:hint="eastAsia" w:ascii="宋体" w:hAnsi="宋体" w:cs="宋体"/>
              </w:rPr>
              <w:t xml:space="preserve"> m2</w:t>
            </w:r>
          </w:p>
        </w:tc>
        <w:tc>
          <w:tcPr>
            <w:tcW w:w="840" w:type="dxa"/>
            <w:vAlign w:val="center"/>
          </w:tcPr>
          <w:p>
            <w:pPr>
              <w:jc w:val="center"/>
              <w:rPr>
                <w:rFonts w:asciiTheme="minorEastAsia" w:hAnsiTheme="minorEastAsia" w:eastAsiaTheme="minorEastAsia"/>
                <w:sz w:val="21"/>
                <w:szCs w:val="21"/>
              </w:rPr>
            </w:pPr>
          </w:p>
        </w:tc>
        <w:tc>
          <w:tcPr>
            <w:tcW w:w="974" w:type="dxa"/>
            <w:vAlign w:val="center"/>
          </w:tcPr>
          <w:p>
            <w:pPr>
              <w:jc w:val="center"/>
              <w:rPr>
                <w:rFonts w:ascii="华文楷体" w:hAnsi="华文楷体" w:eastAsia="华文楷体"/>
                <w:sz w:val="21"/>
                <w:szCs w:val="21"/>
              </w:rPr>
            </w:pPr>
          </w:p>
        </w:tc>
        <w:tc>
          <w:tcPr>
            <w:tcW w:w="1214" w:type="dxa"/>
            <w:vAlign w:val="center"/>
          </w:tcPr>
          <w:p>
            <w:pPr>
              <w:jc w:val="center"/>
              <w:rPr>
                <w:rFonts w:ascii="华文楷体" w:hAnsi="华文楷体" w:eastAsia="华文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00" w:type="dxa"/>
            <w:vAlign w:val="center"/>
          </w:tcPr>
          <w:p>
            <w:pPr>
              <w:pStyle w:val="7"/>
              <w:widowControl w:val="0"/>
              <w:jc w:val="center"/>
              <w:rPr>
                <w:rStyle w:val="11"/>
                <w:rFonts w:ascii="华文楷体" w:hAnsi="华文楷体" w:eastAsia="华文楷体"/>
                <w:b w:val="0"/>
                <w:bCs w:val="0"/>
                <w:sz w:val="21"/>
                <w:szCs w:val="21"/>
              </w:rPr>
            </w:pPr>
            <w:r>
              <w:rPr>
                <w:rStyle w:val="11"/>
                <w:rFonts w:hint="eastAsia" w:ascii="华文楷体" w:hAnsi="华文楷体" w:eastAsia="华文楷体"/>
                <w:b w:val="0"/>
                <w:bCs w:val="0"/>
                <w:sz w:val="21"/>
                <w:szCs w:val="21"/>
              </w:rPr>
              <w:t>2</w:t>
            </w:r>
          </w:p>
        </w:tc>
        <w:tc>
          <w:tcPr>
            <w:tcW w:w="705" w:type="dxa"/>
            <w:vAlign w:val="center"/>
          </w:tcPr>
          <w:p>
            <w:pPr>
              <w:rPr>
                <w:rFonts w:ascii="华文楷体" w:hAnsi="华文楷体" w:eastAsia="华文楷体"/>
                <w:sz w:val="21"/>
                <w:szCs w:val="21"/>
              </w:rPr>
            </w:pPr>
            <w:r>
              <w:rPr>
                <w:rFonts w:hint="eastAsia" w:ascii="宋体" w:hAnsi="宋体" w:cs="宋体"/>
                <w:color w:val="000000"/>
              </w:rPr>
              <w:t>显示屏接收系统</w:t>
            </w:r>
          </w:p>
        </w:tc>
        <w:tc>
          <w:tcPr>
            <w:tcW w:w="5220" w:type="dxa"/>
            <w:vAlign w:val="center"/>
          </w:tcPr>
          <w:p>
            <w:pPr>
              <w:rPr>
                <w:rFonts w:hint="eastAsia"/>
              </w:rPr>
            </w:pPr>
            <w:r>
              <w:rPr>
                <w:rFonts w:hint="eastAsia"/>
              </w:rPr>
              <w:t>1.集成16个HUB75，无需再配转接板</w:t>
            </w:r>
          </w:p>
          <w:p>
            <w:pPr>
              <w:rPr>
                <w:rFonts w:hint="eastAsia"/>
              </w:rPr>
            </w:pPr>
            <w:r>
              <w:rPr>
                <w:rFonts w:hint="eastAsia"/>
              </w:rPr>
              <w:t>2.单卡最大带载256×1024像素，最多支持32组并行数据</w:t>
            </w:r>
          </w:p>
          <w:p>
            <w:pPr>
              <w:rPr>
                <w:rFonts w:hint="eastAsia"/>
              </w:rPr>
            </w:pPr>
            <w:r>
              <w:rPr>
                <w:rFonts w:hint="eastAsia"/>
              </w:rPr>
              <w:t>3.支持8bit色深视频源输入输出，单色灰阶为256，可搭配出16777216种混合色彩。</w:t>
            </w:r>
          </w:p>
          <w:p>
            <w:pPr>
              <w:rPr>
                <w:rFonts w:hint="eastAsia"/>
              </w:rPr>
            </w:pPr>
            <w:r>
              <w:rPr>
                <w:rFonts w:hint="eastAsia"/>
              </w:rPr>
              <w:t>4.支持自适应帧率技术，不仅支持23.98/24/29.97/30/50/59.94/60Hz常规及非整数帧率，还可输出显示120/240Hz高帧率画面，大幅提升画面流畅度、减少拖影。</w:t>
            </w:r>
          </w:p>
          <w:p>
            <w:pPr>
              <w:rPr>
                <w:rFonts w:hint="eastAsia"/>
              </w:rPr>
            </w:pPr>
            <w:r>
              <w:rPr>
                <w:rFonts w:hint="eastAsia"/>
              </w:rPr>
              <w:t>5.支持色温调节，提供调整色温，即饱和度调节，增强画面表现力</w:t>
            </w:r>
          </w:p>
          <w:p>
            <w:pPr>
              <w:rPr>
                <w:rFonts w:hint="eastAsia"/>
              </w:rPr>
            </w:pPr>
            <w:r>
              <w:rPr>
                <w:rFonts w:hint="eastAsia"/>
              </w:rPr>
              <w:t>6.支持低亮高灰</w:t>
            </w:r>
          </w:p>
          <w:p>
            <w:pPr>
              <w:rPr>
                <w:rFonts w:hint="eastAsia"/>
              </w:rPr>
            </w:pPr>
            <w:r>
              <w:rPr>
                <w:rFonts w:hint="eastAsia"/>
              </w:rPr>
              <w:t>7.支持亮色度逐点校正，能有效消除灯点色差，保证整屏的颜色亮度的均匀性和一致性，提升整体显示效果</w:t>
            </w:r>
          </w:p>
          <w:p>
            <w:pPr>
              <w:rPr>
                <w:rFonts w:hint="eastAsia"/>
              </w:rPr>
            </w:pPr>
            <w:r>
              <w:rPr>
                <w:rFonts w:hint="eastAsia"/>
              </w:rPr>
              <w:t>8.支持箱体标定和快速标序</w:t>
            </w:r>
          </w:p>
          <w:p>
            <w:pPr>
              <w:rPr>
                <w:rFonts w:hint="eastAsia"/>
              </w:rPr>
            </w:pPr>
            <w:r>
              <w:rPr>
                <w:rFonts w:hint="eastAsia"/>
              </w:rPr>
              <w:t>9.支持画面旋转，单个箱体画面以90°/180°/270°角度进行旋转，配合部分主控可实现单箱体画面任意角度旋转显示</w:t>
            </w:r>
          </w:p>
          <w:p>
            <w:pPr>
              <w:rPr>
                <w:rFonts w:hint="eastAsia"/>
              </w:rPr>
            </w:pPr>
            <w:r>
              <w:rPr>
                <w:rFonts w:hint="eastAsia"/>
              </w:rPr>
              <w:t>10.支持数据偏移，支持误码侦测</w:t>
            </w:r>
          </w:p>
          <w:p>
            <w:pPr>
              <w:rPr>
                <w:rFonts w:hint="eastAsia"/>
              </w:rPr>
            </w:pPr>
            <w:r>
              <w:rPr>
                <w:rFonts w:hint="eastAsia"/>
              </w:rPr>
              <w:t>11.支持环路备份，支持固件备份</w:t>
            </w:r>
          </w:p>
          <w:p>
            <w:pPr>
              <w:rPr>
                <w:rFonts w:hint="eastAsia"/>
              </w:rPr>
            </w:pPr>
            <w:r>
              <w:rPr>
                <w:rFonts w:hint="eastAsia"/>
              </w:rPr>
              <w:t>12.</w:t>
            </w:r>
            <w:r>
              <w:rPr>
                <w:rFonts w:hint="default"/>
                <w:lang w:val="en-US" w:eastAsia="zh-CN"/>
              </w:rPr>
              <w:t>▲</w:t>
            </w:r>
            <w:r>
              <w:rPr>
                <w:rFonts w:hint="eastAsia"/>
                <w:b/>
                <w:bCs/>
                <w:lang w:val="en-US" w:eastAsia="zh-CN"/>
              </w:rPr>
              <w:t>中标后</w:t>
            </w:r>
            <w:r>
              <w:rPr>
                <w:rFonts w:hint="eastAsia"/>
                <w:b/>
                <w:bCs/>
              </w:rPr>
              <w:t>提供厂家售后服务承诺书和项目授权书</w:t>
            </w:r>
            <w:r>
              <w:rPr>
                <w:rFonts w:hint="eastAsia"/>
              </w:rPr>
              <w:t>；</w:t>
            </w:r>
          </w:p>
          <w:p>
            <w:pPr>
              <w:rPr>
                <w:rFonts w:hint="eastAsia"/>
              </w:rPr>
            </w:pPr>
            <w:r>
              <w:rPr>
                <w:rFonts w:hint="eastAsia"/>
              </w:rPr>
              <w:t>13.★8bit 精度的色度，亮度一体化逐点校正，能有效消除灯点色差，保证整屏的颜色亮度的均匀性和一致性，提升整体显示效果。</w:t>
            </w:r>
          </w:p>
          <w:p>
            <w:pPr>
              <w:rPr>
                <w:rFonts w:hint="eastAsia" w:eastAsia="宋体"/>
                <w:lang w:eastAsia="zh-CN"/>
              </w:rPr>
            </w:pPr>
            <w:r>
              <w:rPr>
                <w:rFonts w:hint="eastAsia"/>
              </w:rPr>
              <w:t>14.★检测接收卡之间数据传输质量和误码情况，可以方便快捷地识别出硬件连接异常的箱体，便于维护</w:t>
            </w:r>
            <w:r>
              <w:rPr>
                <w:rFonts w:hint="eastAsia"/>
                <w:lang w:eastAsia="zh-CN"/>
              </w:rPr>
              <w:t>。</w:t>
            </w:r>
          </w:p>
          <w:p>
            <w:pPr>
              <w:rPr>
                <w:rFonts w:hint="eastAsia" w:eastAsia="宋体"/>
                <w:lang w:eastAsia="zh-CN"/>
              </w:rPr>
            </w:pPr>
            <w:r>
              <w:rPr>
                <w:rFonts w:hint="eastAsia"/>
              </w:rPr>
              <w:t xml:space="preserve">15.★支持一帧延迟，发送端到显示端延迟达到一帧，解决系统延迟导致的画面不同步问题 </w:t>
            </w:r>
            <w:r>
              <w:rPr>
                <w:rFonts w:hint="eastAsia"/>
                <w:lang w:eastAsia="zh-CN"/>
              </w:rPr>
              <w:t>。</w:t>
            </w:r>
          </w:p>
          <w:p>
            <w:pPr>
              <w:rPr>
                <w:rFonts w:hint="eastAsia" w:eastAsia="宋体"/>
                <w:lang w:eastAsia="zh-CN"/>
              </w:rPr>
            </w:pPr>
            <w:r>
              <w:rPr>
                <w:rFonts w:hint="eastAsia"/>
              </w:rPr>
              <w:t>16.通过对伽马表算法的优化，使得显示屏在降低亮度时能保持灰阶的完整无损失、完美显示，呈现低亮度高灰阶的显示效果</w:t>
            </w:r>
            <w:r>
              <w:rPr>
                <w:rFonts w:hint="eastAsia"/>
                <w:lang w:eastAsia="zh-CN"/>
              </w:rPr>
              <w:t>。</w:t>
            </w:r>
          </w:p>
          <w:p>
            <w:pPr>
              <w:rPr>
                <w:rFonts w:ascii="华文楷体" w:hAnsi="华文楷体" w:eastAsia="华文楷体"/>
                <w:sz w:val="21"/>
                <w:szCs w:val="21"/>
              </w:rPr>
            </w:pPr>
            <w:r>
              <w:rPr>
                <w:rFonts w:hint="eastAsia"/>
              </w:rPr>
              <w:t>17.为使画面显示效果更加完美，保持整屏一致性，控制系统具有修缝、十字修复功能</w:t>
            </w:r>
            <w:r>
              <w:rPr>
                <w:rFonts w:hint="eastAsia"/>
                <w:lang w:eastAsia="zh-CN"/>
              </w:rPr>
              <w:t>。</w:t>
            </w:r>
            <w:r>
              <w:rPr>
                <w:rFonts w:hint="eastAsia"/>
              </w:rPr>
              <w:t>。</w:t>
            </w:r>
          </w:p>
        </w:tc>
        <w:tc>
          <w:tcPr>
            <w:tcW w:w="780" w:type="dxa"/>
            <w:vAlign w:val="center"/>
          </w:tcPr>
          <w:p>
            <w:pPr>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1套</w:t>
            </w:r>
          </w:p>
        </w:tc>
        <w:tc>
          <w:tcPr>
            <w:tcW w:w="840" w:type="dxa"/>
            <w:vAlign w:val="center"/>
          </w:tcPr>
          <w:p>
            <w:pPr>
              <w:jc w:val="center"/>
              <w:rPr>
                <w:rFonts w:hint="default" w:ascii="华文楷体" w:hAnsi="华文楷体" w:eastAsia="华文楷体"/>
                <w:sz w:val="21"/>
                <w:szCs w:val="21"/>
                <w:lang w:val="en-US" w:eastAsia="zh-CN"/>
              </w:rPr>
            </w:pPr>
          </w:p>
        </w:tc>
        <w:tc>
          <w:tcPr>
            <w:tcW w:w="974" w:type="dxa"/>
            <w:vAlign w:val="center"/>
          </w:tcPr>
          <w:p>
            <w:pPr>
              <w:jc w:val="center"/>
              <w:rPr>
                <w:rFonts w:ascii="华文楷体" w:hAnsi="华文楷体" w:eastAsia="华文楷体"/>
                <w:sz w:val="21"/>
                <w:szCs w:val="21"/>
              </w:rPr>
            </w:pPr>
          </w:p>
        </w:tc>
        <w:tc>
          <w:tcPr>
            <w:tcW w:w="1214" w:type="dxa"/>
            <w:vAlign w:val="center"/>
          </w:tcPr>
          <w:p>
            <w:pPr>
              <w:jc w:val="center"/>
              <w:rPr>
                <w:rFonts w:ascii="华文楷体" w:hAnsi="华文楷体" w:eastAsia="华文楷体"/>
                <w:sz w:val="21"/>
                <w:szCs w:val="21"/>
              </w:rPr>
            </w:pPr>
          </w:p>
        </w:tc>
      </w:tr>
      <w:tr>
        <w:trPr>
          <w:trHeight w:val="567" w:hRule="atLeast"/>
          <w:jc w:val="center"/>
        </w:trPr>
        <w:tc>
          <w:tcPr>
            <w:tcW w:w="600" w:type="dxa"/>
            <w:vAlign w:val="center"/>
          </w:tcPr>
          <w:p>
            <w:pPr>
              <w:pStyle w:val="7"/>
              <w:widowControl w:val="0"/>
              <w:jc w:val="center"/>
              <w:rPr>
                <w:rStyle w:val="11"/>
                <w:rFonts w:ascii="华文楷体" w:hAnsi="华文楷体" w:eastAsia="华文楷体"/>
                <w:b w:val="0"/>
                <w:bCs w:val="0"/>
                <w:sz w:val="21"/>
                <w:szCs w:val="21"/>
              </w:rPr>
            </w:pPr>
            <w:r>
              <w:rPr>
                <w:rStyle w:val="11"/>
                <w:rFonts w:hint="eastAsia" w:ascii="华文楷体" w:hAnsi="华文楷体" w:eastAsia="华文楷体"/>
                <w:b w:val="0"/>
                <w:bCs w:val="0"/>
                <w:sz w:val="21"/>
                <w:szCs w:val="21"/>
              </w:rPr>
              <w:t>3</w:t>
            </w:r>
          </w:p>
        </w:tc>
        <w:tc>
          <w:tcPr>
            <w:tcW w:w="705" w:type="dxa"/>
            <w:vAlign w:val="center"/>
          </w:tcPr>
          <w:p>
            <w:pPr>
              <w:rPr>
                <w:rFonts w:ascii="华文楷体" w:hAnsi="华文楷体" w:eastAsia="华文楷体"/>
                <w:sz w:val="21"/>
                <w:szCs w:val="21"/>
              </w:rPr>
            </w:pPr>
            <w:r>
              <w:rPr>
                <w:rFonts w:hint="eastAsia" w:ascii="宋体" w:hAnsi="宋体" w:cs="宋体"/>
                <w:color w:val="000000"/>
              </w:rPr>
              <w:t>视频控制器</w:t>
            </w:r>
          </w:p>
        </w:tc>
        <w:tc>
          <w:tcPr>
            <w:tcW w:w="5220" w:type="dxa"/>
            <w:vAlign w:val="center"/>
          </w:tcPr>
          <w:p>
            <w:pPr>
              <w:rPr>
                <w:rFonts w:hint="eastAsia"/>
              </w:rPr>
            </w:pPr>
            <w:r>
              <w:rPr>
                <w:rFonts w:hint="eastAsia"/>
              </w:rPr>
              <w:t>1.最大1920X1200@60Hz 输入分辨率</w:t>
            </w:r>
          </w:p>
          <w:p>
            <w:pPr>
              <w:rPr>
                <w:rFonts w:hint="eastAsia"/>
              </w:rPr>
            </w:pPr>
            <w:r>
              <w:rPr>
                <w:rFonts w:hint="eastAsia"/>
              </w:rPr>
              <w:t>2.最大带载780万像素，12路千兆网口输出</w:t>
            </w:r>
          </w:p>
          <w:p>
            <w:pPr>
              <w:rPr>
                <w:rFonts w:hint="eastAsia"/>
              </w:rPr>
            </w:pPr>
            <w:r>
              <w:rPr>
                <w:rFonts w:hint="eastAsia"/>
              </w:rPr>
              <w:t>3.最宽8192像素点或最高4096像素点</w:t>
            </w:r>
          </w:p>
          <w:p>
            <w:pPr>
              <w:rPr>
                <w:rFonts w:hint="eastAsia"/>
              </w:rPr>
            </w:pPr>
            <w:r>
              <w:rPr>
                <w:rFonts w:hint="eastAsia"/>
              </w:rPr>
              <w:t>4.支持4路信号输入:3xHDMI1.4，1xDVI</w:t>
            </w:r>
          </w:p>
          <w:p>
            <w:pPr>
              <w:rPr>
                <w:rFonts w:hint="eastAsia"/>
              </w:rPr>
            </w:pPr>
            <w:r>
              <w:rPr>
                <w:rFonts w:hint="eastAsia"/>
              </w:rPr>
              <w:t>5.支持单机或双机冗余备份</w:t>
            </w:r>
          </w:p>
          <w:p>
            <w:pPr>
              <w:rPr>
                <w:rFonts w:hint="eastAsia"/>
              </w:rPr>
            </w:pPr>
            <w:r>
              <w:rPr>
                <w:rFonts w:hint="eastAsia"/>
              </w:rPr>
              <w:t>6.支持1路独立音频输入，1路独立音频输出</w:t>
            </w:r>
          </w:p>
          <w:p>
            <w:pPr>
              <w:rPr>
                <w:rFonts w:hint="eastAsia"/>
              </w:rPr>
            </w:pPr>
            <w:r>
              <w:rPr>
                <w:rFonts w:hint="eastAsia"/>
              </w:rPr>
              <w:t>7.支持3画面显示，位置、大小可自由调节</w:t>
            </w:r>
          </w:p>
          <w:p>
            <w:pPr>
              <w:rPr>
                <w:rFonts w:hint="eastAsia"/>
              </w:rPr>
            </w:pPr>
            <w:r>
              <w:rPr>
                <w:rFonts w:hint="eastAsia"/>
              </w:rPr>
              <w:t>8.支持视频信号任意切换，裁剪，拼接，缩放</w:t>
            </w:r>
          </w:p>
          <w:p>
            <w:pPr>
              <w:rPr>
                <w:rFonts w:hint="eastAsia"/>
              </w:rPr>
            </w:pPr>
            <w:r>
              <w:rPr>
                <w:rFonts w:hint="eastAsia"/>
              </w:rPr>
              <w:t>9.支持HDCP高带宽数字内容保护技术</w:t>
            </w:r>
          </w:p>
          <w:p>
            <w:pPr>
              <w:rPr>
                <w:rFonts w:hint="eastAsia"/>
              </w:rPr>
            </w:pPr>
            <w:r>
              <w:rPr>
                <w:rFonts w:hint="eastAsia"/>
              </w:rPr>
              <w:t>10.支持亮度和色温调节</w:t>
            </w:r>
          </w:p>
          <w:p>
            <w:pPr>
              <w:rPr>
                <w:rFonts w:hint="eastAsia"/>
              </w:rPr>
            </w:pPr>
            <w:r>
              <w:rPr>
                <w:rFonts w:hint="eastAsia"/>
              </w:rPr>
              <w:t>11.支持低亮高灰，能有效地保持低亮下灰阶的完整显示</w:t>
            </w:r>
          </w:p>
          <w:p>
            <w:pPr>
              <w:rPr>
                <w:rFonts w:hint="eastAsia"/>
              </w:rPr>
            </w:pPr>
            <w:r>
              <w:rPr>
                <w:rFonts w:hint="eastAsia"/>
              </w:rPr>
              <w:t>12.</w:t>
            </w:r>
            <w:r>
              <w:rPr>
                <w:rFonts w:hint="default"/>
                <w:lang w:val="en-US" w:eastAsia="zh-CN"/>
              </w:rPr>
              <w:t>▲</w:t>
            </w:r>
            <w:r>
              <w:rPr>
                <w:rFonts w:hint="eastAsia"/>
              </w:rPr>
              <w:t>确保产品质量可靠，</w:t>
            </w:r>
            <w:r>
              <w:rPr>
                <w:rFonts w:hint="eastAsia"/>
                <w:b/>
                <w:bCs/>
                <w:lang w:val="en-US" w:eastAsia="zh-CN"/>
              </w:rPr>
              <w:t>中标后</w:t>
            </w:r>
            <w:r>
              <w:rPr>
                <w:rFonts w:hint="eastAsia"/>
                <w:b/>
                <w:bCs/>
              </w:rPr>
              <w:t>提供厂家3C认证证书</w:t>
            </w:r>
            <w:r>
              <w:rPr>
                <w:rFonts w:hint="eastAsia"/>
              </w:rPr>
              <w:t>。</w:t>
            </w:r>
          </w:p>
          <w:p>
            <w:pPr>
              <w:rPr>
                <w:rFonts w:hint="eastAsia"/>
              </w:rPr>
            </w:pPr>
            <w:r>
              <w:rPr>
                <w:rFonts w:hint="eastAsia"/>
              </w:rPr>
              <w:t>13.支持设备间和网口间冗余备份多台控制器及控制器间任意网口指定备份其他区域控制范围内容</w:t>
            </w:r>
            <w:r>
              <w:rPr>
                <w:rFonts w:hint="eastAsia"/>
                <w:lang w:eastAsia="zh-CN"/>
              </w:rPr>
              <w:t>。</w:t>
            </w:r>
          </w:p>
          <w:p>
            <w:pPr>
              <w:rPr>
                <w:rFonts w:hint="eastAsia" w:eastAsia="宋体"/>
                <w:lang w:eastAsia="zh-CN"/>
              </w:rPr>
            </w:pPr>
            <w:r>
              <w:rPr>
                <w:rFonts w:hint="eastAsia"/>
              </w:rPr>
              <w:t>14.不正当操作导致控制器内部设置错乱，可一键恢复出厂标准设置</w:t>
            </w:r>
            <w:r>
              <w:rPr>
                <w:rFonts w:hint="eastAsia"/>
                <w:lang w:eastAsia="zh-CN"/>
              </w:rPr>
              <w:t>。</w:t>
            </w:r>
          </w:p>
          <w:p>
            <w:pPr>
              <w:rPr>
                <w:rFonts w:hint="eastAsia" w:eastAsia="宋体"/>
                <w:lang w:eastAsia="zh-CN"/>
              </w:rPr>
            </w:pPr>
            <w:r>
              <w:rPr>
                <w:rFonts w:hint="eastAsia"/>
              </w:rPr>
              <w:t>15.支持自动倍频、2 倍频、3 倍频，采用独特的倍频算法，针对视频源信号小于 30hz 可启用 2 倍频，小于 20hz 可启用 3 倍频，可以将输入信号转成 60Hz 信号输出，提高画面显示效果，信号最高帧率可达 100Hz</w:t>
            </w:r>
            <w:r>
              <w:rPr>
                <w:rFonts w:hint="eastAsia"/>
                <w:lang w:eastAsia="zh-CN"/>
              </w:rPr>
              <w:t>。</w:t>
            </w:r>
          </w:p>
          <w:p>
            <w:pPr>
              <w:rPr>
                <w:rFonts w:hint="eastAsia" w:eastAsia="宋体"/>
                <w:lang w:eastAsia="zh-CN"/>
              </w:rPr>
            </w:pPr>
            <w:r>
              <w:rPr>
                <w:rFonts w:hint="eastAsia"/>
              </w:rPr>
              <w:t xml:space="preserve">16.支持屏幕除湿功能，通过自定义设置预热屏幕减少屏幕水汽，可以减少死灯、短路、暗亮等问题，延长显示屏使用寿命 </w:t>
            </w:r>
            <w:r>
              <w:rPr>
                <w:rFonts w:hint="eastAsia"/>
                <w:lang w:eastAsia="zh-CN"/>
              </w:rPr>
              <w:t>。</w:t>
            </w:r>
          </w:p>
          <w:p>
            <w:pPr>
              <w:rPr>
                <w:rFonts w:ascii="华文楷体" w:hAnsi="华文楷体" w:eastAsia="华文楷体"/>
                <w:sz w:val="21"/>
                <w:szCs w:val="21"/>
              </w:rPr>
            </w:pPr>
            <w:r>
              <w:rPr>
                <w:rFonts w:hint="eastAsia"/>
              </w:rPr>
              <w:t>17.视频控制设备可支持EUT的连接方法</w:t>
            </w:r>
            <w:r>
              <w:rPr>
                <w:rFonts w:hint="eastAsia"/>
                <w:lang w:eastAsia="zh-CN"/>
              </w:rPr>
              <w:t>。</w:t>
            </w:r>
          </w:p>
        </w:tc>
        <w:tc>
          <w:tcPr>
            <w:tcW w:w="780" w:type="dxa"/>
            <w:vAlign w:val="center"/>
          </w:tcPr>
          <w:p>
            <w:pPr>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1台</w:t>
            </w:r>
          </w:p>
        </w:tc>
        <w:tc>
          <w:tcPr>
            <w:tcW w:w="840" w:type="dxa"/>
            <w:vAlign w:val="center"/>
          </w:tcPr>
          <w:p>
            <w:pPr>
              <w:jc w:val="center"/>
              <w:rPr>
                <w:rFonts w:ascii="华文楷体" w:hAnsi="华文楷体" w:eastAsia="华文楷体"/>
                <w:sz w:val="21"/>
                <w:szCs w:val="21"/>
              </w:rPr>
            </w:pPr>
          </w:p>
        </w:tc>
        <w:tc>
          <w:tcPr>
            <w:tcW w:w="974" w:type="dxa"/>
            <w:vAlign w:val="center"/>
          </w:tcPr>
          <w:p>
            <w:pPr>
              <w:jc w:val="center"/>
              <w:rPr>
                <w:rFonts w:ascii="华文楷体" w:hAnsi="华文楷体" w:eastAsia="华文楷体"/>
                <w:sz w:val="21"/>
                <w:szCs w:val="21"/>
              </w:rPr>
            </w:pPr>
          </w:p>
        </w:tc>
        <w:tc>
          <w:tcPr>
            <w:tcW w:w="1214" w:type="dxa"/>
            <w:vAlign w:val="center"/>
          </w:tcPr>
          <w:p>
            <w:pPr>
              <w:jc w:val="center"/>
              <w:rPr>
                <w:rFonts w:ascii="华文楷体" w:hAnsi="华文楷体" w:eastAsia="华文楷体"/>
                <w:sz w:val="21"/>
                <w:szCs w:val="21"/>
              </w:rPr>
            </w:pPr>
          </w:p>
        </w:tc>
      </w:tr>
      <w:tr>
        <w:trPr>
          <w:trHeight w:val="567" w:hRule="atLeast"/>
          <w:jc w:val="center"/>
        </w:trPr>
        <w:tc>
          <w:tcPr>
            <w:tcW w:w="600" w:type="dxa"/>
            <w:vAlign w:val="center"/>
          </w:tcPr>
          <w:p>
            <w:pPr>
              <w:pStyle w:val="7"/>
              <w:widowControl w:val="0"/>
              <w:jc w:val="center"/>
              <w:rPr>
                <w:rStyle w:val="11"/>
                <w:rFonts w:ascii="华文楷体" w:hAnsi="华文楷体" w:eastAsia="华文楷体"/>
                <w:b w:val="0"/>
                <w:bCs w:val="0"/>
                <w:sz w:val="21"/>
                <w:szCs w:val="21"/>
              </w:rPr>
            </w:pPr>
            <w:r>
              <w:rPr>
                <w:rStyle w:val="11"/>
                <w:rFonts w:hint="eastAsia" w:ascii="华文楷体" w:hAnsi="华文楷体" w:eastAsia="华文楷体"/>
                <w:b w:val="0"/>
                <w:bCs w:val="0"/>
                <w:sz w:val="21"/>
                <w:szCs w:val="21"/>
              </w:rPr>
              <w:t>4</w:t>
            </w:r>
          </w:p>
        </w:tc>
        <w:tc>
          <w:tcPr>
            <w:tcW w:w="705" w:type="dxa"/>
            <w:vAlign w:val="center"/>
          </w:tcPr>
          <w:p>
            <w:pPr>
              <w:textAlignment w:val="center"/>
              <w:rPr>
                <w:rFonts w:ascii="华文楷体" w:hAnsi="华文楷体" w:eastAsia="华文楷体"/>
                <w:sz w:val="21"/>
                <w:szCs w:val="21"/>
              </w:rPr>
            </w:pPr>
            <w:r>
              <w:rPr>
                <w:rFonts w:hint="eastAsia" w:ascii="宋体" w:hAnsi="宋体" w:cs="宋体"/>
                <w:color w:val="000000"/>
              </w:rPr>
              <w:t>LED显示屏控制软件</w:t>
            </w:r>
          </w:p>
        </w:tc>
        <w:tc>
          <w:tcPr>
            <w:tcW w:w="5220" w:type="dxa"/>
            <w:vAlign w:val="center"/>
          </w:tcPr>
          <w:p>
            <w:pPr>
              <w:rPr>
                <w:rFonts w:ascii="宋体" w:hAnsi="宋体" w:cs="宋体"/>
              </w:rPr>
            </w:pPr>
            <w:r>
              <w:rPr>
                <w:rFonts w:hint="eastAsia" w:ascii="宋体" w:hAnsi="宋体" w:cs="宋体"/>
              </w:rPr>
              <w:t>1、可实现对LED显示屏、配电柜、拼接处理器等设备进行集中管理和控制,操作端在网络内可灵活部署。</w:t>
            </w:r>
          </w:p>
          <w:p>
            <w:pPr>
              <w:rPr>
                <w:rFonts w:ascii="宋体" w:hAnsi="宋体" w:cs="宋体"/>
              </w:rPr>
            </w:pPr>
            <w:r>
              <w:rPr>
                <w:rFonts w:hint="eastAsia" w:ascii="宋体" w:hAnsi="宋体" w:cs="宋体"/>
              </w:rPr>
              <w:t>2、支持显示素材多样化，各种视频文件、图片、字幕、流媒体、IP桌面、超大分辨率图像等的任意开窗、叠加显示。</w:t>
            </w:r>
          </w:p>
          <w:p>
            <w:pPr>
              <w:rPr>
                <w:rFonts w:ascii="宋体" w:hAnsi="宋体" w:cs="宋体"/>
              </w:rPr>
            </w:pPr>
            <w:r>
              <w:rPr>
                <w:rFonts w:hint="eastAsia" w:ascii="宋体" w:hAnsi="宋体" w:cs="宋体"/>
              </w:rPr>
              <w:t>3、系统支持PC端触控操作，支持在线、离线场景编辑，支持多权限、多用户同时操作、分区操作，数据库实时数据更新。</w:t>
            </w:r>
          </w:p>
          <w:p>
            <w:pPr>
              <w:rPr>
                <w:rFonts w:ascii="宋体" w:hAnsi="宋体" w:cs="宋体"/>
              </w:rPr>
            </w:pPr>
            <w:r>
              <w:rPr>
                <w:rFonts w:hint="eastAsia" w:ascii="宋体" w:hAnsi="宋体" w:cs="宋体"/>
              </w:rPr>
              <w:t>4、C/S或B/S架构，操作平台和服务分离，控制便捷、执行效率高。</w:t>
            </w:r>
          </w:p>
          <w:p>
            <w:pPr>
              <w:rPr>
                <w:rFonts w:ascii="宋体" w:hAnsi="宋体" w:cs="宋体"/>
              </w:rPr>
            </w:pPr>
            <w:r>
              <w:rPr>
                <w:rFonts w:hint="eastAsia" w:ascii="宋体" w:hAnsi="宋体" w:cs="宋体"/>
              </w:rPr>
              <w:t>5、支持LED显示屏等系统设备工作状态实时监控、故障智能诊断。</w:t>
            </w:r>
          </w:p>
          <w:p>
            <w:pPr>
              <w:rPr>
                <w:rFonts w:ascii="宋体" w:hAnsi="宋体" w:cs="宋体"/>
              </w:rPr>
            </w:pPr>
            <w:r>
              <w:rPr>
                <w:rFonts w:hint="eastAsia" w:ascii="宋体" w:hAnsi="宋体" w:cs="宋体"/>
              </w:rPr>
              <w:t>6、支持自动的场景、节目播放、开关控制，适应各时段、多类型显示需求</w:t>
            </w:r>
          </w:p>
          <w:p>
            <w:pPr>
              <w:rPr>
                <w:rFonts w:ascii="华文楷体" w:hAnsi="华文楷体" w:eastAsia="华文楷体"/>
                <w:sz w:val="21"/>
                <w:szCs w:val="21"/>
              </w:rPr>
            </w:pPr>
            <w:r>
              <w:rPr>
                <w:rFonts w:hint="eastAsia" w:ascii="宋体" w:hAnsi="宋体" w:cs="宋体"/>
              </w:rPr>
              <w:t>7、★具有软件著作权，并有官方出具的软件测试报告</w:t>
            </w:r>
          </w:p>
        </w:tc>
        <w:tc>
          <w:tcPr>
            <w:tcW w:w="780" w:type="dxa"/>
            <w:vAlign w:val="center"/>
          </w:tcPr>
          <w:p>
            <w:pPr>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1套</w:t>
            </w:r>
          </w:p>
        </w:tc>
        <w:tc>
          <w:tcPr>
            <w:tcW w:w="840" w:type="dxa"/>
            <w:vAlign w:val="center"/>
          </w:tcPr>
          <w:p>
            <w:pPr>
              <w:jc w:val="center"/>
              <w:rPr>
                <w:rFonts w:hint="eastAsia" w:ascii="华文楷体" w:hAnsi="华文楷体" w:eastAsia="华文楷体"/>
                <w:sz w:val="21"/>
                <w:szCs w:val="21"/>
                <w:lang w:eastAsia="zh-CN"/>
              </w:rPr>
            </w:pPr>
          </w:p>
        </w:tc>
        <w:tc>
          <w:tcPr>
            <w:tcW w:w="974" w:type="dxa"/>
            <w:vAlign w:val="center"/>
          </w:tcPr>
          <w:p>
            <w:pPr>
              <w:jc w:val="center"/>
              <w:rPr>
                <w:rFonts w:ascii="华文楷体" w:hAnsi="华文楷体" w:eastAsia="华文楷体"/>
                <w:sz w:val="21"/>
                <w:szCs w:val="21"/>
              </w:rPr>
            </w:pPr>
          </w:p>
        </w:tc>
        <w:tc>
          <w:tcPr>
            <w:tcW w:w="1214" w:type="dxa"/>
            <w:vAlign w:val="center"/>
          </w:tcPr>
          <w:p>
            <w:pPr>
              <w:jc w:val="center"/>
              <w:rPr>
                <w:rFonts w:ascii="华文楷体" w:hAnsi="华文楷体" w:eastAsia="华文楷体"/>
                <w:sz w:val="21"/>
                <w:szCs w:val="21"/>
              </w:rPr>
            </w:pPr>
          </w:p>
        </w:tc>
      </w:tr>
      <w:tr>
        <w:trPr>
          <w:trHeight w:val="567" w:hRule="atLeast"/>
          <w:jc w:val="center"/>
        </w:trPr>
        <w:tc>
          <w:tcPr>
            <w:tcW w:w="600" w:type="dxa"/>
            <w:vAlign w:val="center"/>
          </w:tcPr>
          <w:p>
            <w:pPr>
              <w:pStyle w:val="7"/>
              <w:widowControl w:val="0"/>
              <w:jc w:val="center"/>
              <w:rPr>
                <w:rStyle w:val="11"/>
                <w:rFonts w:ascii="华文楷体" w:hAnsi="华文楷体" w:eastAsia="华文楷体"/>
                <w:b w:val="0"/>
                <w:bCs w:val="0"/>
                <w:sz w:val="21"/>
                <w:szCs w:val="21"/>
              </w:rPr>
            </w:pPr>
            <w:r>
              <w:rPr>
                <w:rStyle w:val="11"/>
                <w:rFonts w:ascii="华文楷体" w:hAnsi="华文楷体" w:eastAsia="华文楷体"/>
                <w:b w:val="0"/>
                <w:bCs w:val="0"/>
                <w:sz w:val="21"/>
                <w:szCs w:val="21"/>
              </w:rPr>
              <w:t>5</w:t>
            </w:r>
          </w:p>
        </w:tc>
        <w:tc>
          <w:tcPr>
            <w:tcW w:w="705" w:type="dxa"/>
            <w:vAlign w:val="center"/>
          </w:tcPr>
          <w:p>
            <w:pPr>
              <w:rPr>
                <w:rFonts w:ascii="华文楷体" w:hAnsi="华文楷体" w:eastAsia="华文楷体"/>
                <w:sz w:val="21"/>
                <w:szCs w:val="21"/>
              </w:rPr>
            </w:pPr>
            <w:r>
              <w:rPr>
                <w:rFonts w:hint="eastAsia" w:ascii="宋体" w:hAnsi="宋体" w:cs="宋体"/>
                <w:color w:val="000000"/>
              </w:rPr>
              <w:t>阵列音柱</w:t>
            </w:r>
          </w:p>
        </w:tc>
        <w:tc>
          <w:tcPr>
            <w:tcW w:w="5220" w:type="dxa"/>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功能特点：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1.小巧典雅的外观，适合各种装饰场所；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2.低音选用PP+橡胶边外磁设计,低音振膜采用聚丙烯材料，使低音更加强劲；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3.PET膜片设计,高音振膜采用天然丝膜.高强度塑料支架，使声音层次清晰,圆润通透，清澈明亮。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4.铝材质外壳，采用全铝外壳材质，喷涂磨砂，安全可靠、不生锈、经久耐用不退色,箱体谐振音小。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5.铝质前网，采用1060纯铝，经过硬化、防氧化处理，不易变形永不生锈。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6.配套多功能安装支架，安装方便，颜色白色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1.喇叭单元：3"×4，2"×1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2.额定功率：60W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3.输入阻抗：8Ω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4.灵敏度(1m,1W)：93dB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5.最大声压级(1m)：114dB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6.频率响应：95-20kHz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7.产品尺寸(H*W*D)：606×109×102mm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8.产品重量：4.0kg</w:t>
            </w:r>
          </w:p>
        </w:tc>
        <w:tc>
          <w:tcPr>
            <w:tcW w:w="780" w:type="dxa"/>
            <w:vAlign w:val="center"/>
          </w:tcPr>
          <w:p>
            <w:pPr>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2台</w:t>
            </w:r>
          </w:p>
        </w:tc>
        <w:tc>
          <w:tcPr>
            <w:tcW w:w="840" w:type="dxa"/>
            <w:vAlign w:val="center"/>
          </w:tcPr>
          <w:p>
            <w:pPr>
              <w:jc w:val="center"/>
              <w:rPr>
                <w:rFonts w:hint="default" w:ascii="华文楷体" w:hAnsi="华文楷体" w:eastAsia="宋体"/>
                <w:sz w:val="21"/>
                <w:szCs w:val="21"/>
                <w:lang w:val="en-US" w:eastAsia="zh-CN"/>
              </w:rPr>
            </w:pPr>
          </w:p>
        </w:tc>
        <w:tc>
          <w:tcPr>
            <w:tcW w:w="974" w:type="dxa"/>
            <w:vAlign w:val="center"/>
          </w:tcPr>
          <w:p>
            <w:pPr>
              <w:jc w:val="center"/>
              <w:rPr>
                <w:rFonts w:ascii="华文楷体" w:hAnsi="华文楷体" w:eastAsia="华文楷体"/>
                <w:sz w:val="21"/>
                <w:szCs w:val="21"/>
              </w:rPr>
            </w:pPr>
          </w:p>
        </w:tc>
        <w:tc>
          <w:tcPr>
            <w:tcW w:w="1214" w:type="dxa"/>
            <w:vAlign w:val="center"/>
          </w:tcPr>
          <w:p>
            <w:pPr>
              <w:jc w:val="center"/>
              <w:rPr>
                <w:rFonts w:ascii="华文楷体" w:hAnsi="华文楷体" w:eastAsia="华文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00" w:type="dxa"/>
            <w:vAlign w:val="center"/>
          </w:tcPr>
          <w:p>
            <w:pPr>
              <w:pStyle w:val="7"/>
              <w:widowControl w:val="0"/>
              <w:jc w:val="center"/>
              <w:rPr>
                <w:rStyle w:val="11"/>
                <w:rFonts w:hint="eastAsia" w:ascii="华文楷体" w:hAnsi="华文楷体" w:eastAsia="华文楷体"/>
                <w:b w:val="0"/>
                <w:bCs w:val="0"/>
                <w:sz w:val="21"/>
                <w:szCs w:val="21"/>
                <w:lang w:val="en-US" w:eastAsia="zh-CN"/>
              </w:rPr>
            </w:pPr>
            <w:r>
              <w:rPr>
                <w:rStyle w:val="11"/>
                <w:rFonts w:hint="eastAsia" w:ascii="华文楷体" w:hAnsi="华文楷体" w:eastAsia="华文楷体"/>
                <w:b w:val="0"/>
                <w:bCs w:val="0"/>
                <w:sz w:val="21"/>
                <w:szCs w:val="21"/>
                <w:lang w:val="en-US" w:eastAsia="zh-CN"/>
              </w:rPr>
              <w:t>6</w:t>
            </w:r>
          </w:p>
        </w:tc>
        <w:tc>
          <w:tcPr>
            <w:tcW w:w="705" w:type="dxa"/>
            <w:vAlign w:val="center"/>
          </w:tcPr>
          <w:p>
            <w:pPr>
              <w:spacing w:line="340" w:lineRule="exact"/>
              <w:rPr>
                <w:rFonts w:ascii="宋体" w:hAnsi="宋体" w:cs="宋体"/>
                <w:color w:val="000000"/>
                <w:szCs w:val="21"/>
              </w:rPr>
            </w:pPr>
            <w:r>
              <w:rPr>
                <w:rFonts w:hint="eastAsia" w:ascii="宋体" w:hAnsi="宋体" w:cs="宋体"/>
                <w:color w:val="000000"/>
                <w:szCs w:val="21"/>
              </w:rPr>
              <w:t>多媒体功放</w:t>
            </w:r>
          </w:p>
        </w:tc>
        <w:tc>
          <w:tcPr>
            <w:tcW w:w="5220" w:type="dxa"/>
            <w:vAlign w:val="center"/>
          </w:tcPr>
          <w:p>
            <w:pPr>
              <w:rPr>
                <w:rFonts w:hint="eastAsia" w:ascii="宋体" w:hAnsi="宋体" w:cs="宋体"/>
                <w:color w:val="000000"/>
                <w:szCs w:val="21"/>
                <w:lang w:val="en-GB"/>
              </w:rPr>
            </w:pPr>
            <w:r>
              <w:rPr>
                <w:rFonts w:hint="eastAsia" w:ascii="宋体" w:hAnsi="宋体" w:cs="宋体"/>
                <w:color w:val="000000"/>
                <w:szCs w:val="21"/>
                <w:lang w:val="en-GB"/>
              </w:rPr>
              <w:t>功能特点：</w:t>
            </w:r>
          </w:p>
          <w:p>
            <w:pPr>
              <w:rPr>
                <w:rFonts w:hint="eastAsia" w:ascii="宋体" w:hAnsi="宋体" w:cs="宋体"/>
                <w:color w:val="000000"/>
                <w:szCs w:val="21"/>
                <w:lang w:val="en-GB"/>
              </w:rPr>
            </w:pPr>
            <w:r>
              <w:rPr>
                <w:rFonts w:hint="eastAsia" w:ascii="宋体" w:hAnsi="宋体" w:cs="宋体"/>
                <w:color w:val="000000"/>
                <w:szCs w:val="21"/>
                <w:lang w:val="en-GB"/>
              </w:rPr>
              <w:t>1.支持3路话筒输入，4路音频输入（可手动选择输入信号）；</w:t>
            </w:r>
          </w:p>
          <w:p>
            <w:pPr>
              <w:rPr>
                <w:rFonts w:hint="eastAsia" w:ascii="宋体" w:hAnsi="宋体" w:cs="宋体"/>
                <w:color w:val="000000"/>
                <w:szCs w:val="21"/>
                <w:lang w:val="en-GB"/>
              </w:rPr>
            </w:pPr>
            <w:r>
              <w:rPr>
                <w:rFonts w:hint="eastAsia" w:ascii="宋体" w:hAnsi="宋体" w:cs="宋体"/>
                <w:color w:val="000000"/>
                <w:szCs w:val="21"/>
                <w:lang w:val="en-GB"/>
              </w:rPr>
              <w:t>2.支持1路录音输出，可扩展输出给其他音频设备；</w:t>
            </w:r>
          </w:p>
          <w:p>
            <w:pPr>
              <w:rPr>
                <w:rFonts w:hint="eastAsia" w:ascii="宋体" w:hAnsi="宋体" w:cs="宋体"/>
                <w:color w:val="000000"/>
                <w:szCs w:val="21"/>
                <w:lang w:val="en-GB"/>
              </w:rPr>
            </w:pPr>
            <w:r>
              <w:rPr>
                <w:rFonts w:hint="eastAsia" w:ascii="宋体" w:hAnsi="宋体" w:cs="宋体"/>
                <w:color w:val="000000"/>
                <w:szCs w:val="21"/>
                <w:lang w:val="en-GB"/>
              </w:rPr>
              <w:t>3.每路话筒输入都支持增益、回声、延时、高低音、混响深度、话筒总音量调节；</w:t>
            </w:r>
          </w:p>
          <w:p>
            <w:pPr>
              <w:rPr>
                <w:rFonts w:hint="eastAsia" w:ascii="宋体" w:hAnsi="宋体" w:cs="宋体"/>
                <w:color w:val="000000"/>
                <w:szCs w:val="21"/>
                <w:lang w:val="en-GB"/>
              </w:rPr>
            </w:pPr>
            <w:r>
              <w:rPr>
                <w:rFonts w:hint="eastAsia" w:ascii="宋体" w:hAnsi="宋体" w:cs="宋体"/>
                <w:color w:val="000000"/>
                <w:szCs w:val="21"/>
                <w:lang w:val="en-GB"/>
              </w:rPr>
              <w:t>4.每路音频输入支持高低音、左右平衡、总音量调节；</w:t>
            </w:r>
          </w:p>
          <w:p>
            <w:pPr>
              <w:rPr>
                <w:rFonts w:hint="eastAsia" w:ascii="宋体" w:hAnsi="宋体" w:cs="宋体"/>
                <w:color w:val="000000"/>
                <w:szCs w:val="21"/>
                <w:lang w:val="en-GB"/>
              </w:rPr>
            </w:pPr>
            <w:r>
              <w:rPr>
                <w:rFonts w:hint="eastAsia" w:ascii="宋体" w:hAnsi="宋体" w:cs="宋体"/>
                <w:color w:val="000000"/>
                <w:szCs w:val="21"/>
                <w:lang w:val="en-GB"/>
              </w:rPr>
              <w:t>5.面板材料采用铝合金面板，设备整体精致、轻便、美观、大气；</w:t>
            </w:r>
          </w:p>
          <w:p>
            <w:pPr>
              <w:rPr>
                <w:rFonts w:hint="eastAsia" w:ascii="宋体" w:hAnsi="宋体" w:cs="宋体"/>
                <w:color w:val="000000"/>
                <w:szCs w:val="21"/>
                <w:lang w:val="en-GB"/>
              </w:rPr>
            </w:pPr>
            <w:r>
              <w:rPr>
                <w:rFonts w:hint="eastAsia" w:ascii="宋体" w:hAnsi="宋体" w:cs="宋体"/>
                <w:color w:val="000000"/>
                <w:szCs w:val="21"/>
                <w:lang w:val="en-GB"/>
              </w:rPr>
              <w:t>6.可接插SD卡和USB卡，带蓝牙功能,可读多种MP3版本和格式，可用遥控控制；</w:t>
            </w:r>
          </w:p>
          <w:p>
            <w:pPr>
              <w:rPr>
                <w:rFonts w:hint="eastAsia" w:ascii="宋体" w:hAnsi="宋体" w:cs="宋体"/>
                <w:color w:val="000000"/>
                <w:szCs w:val="21"/>
                <w:lang w:val="en-GB"/>
              </w:rPr>
            </w:pPr>
            <w:r>
              <w:rPr>
                <w:rFonts w:hint="eastAsia" w:ascii="宋体" w:hAnsi="宋体" w:cs="宋体"/>
                <w:color w:val="000000"/>
                <w:szCs w:val="21"/>
                <w:lang w:val="en-GB"/>
              </w:rPr>
              <w:t>7.内置2×80W/8Ω功率输出，能同时外接两组8Ω专业音箱；</w:t>
            </w:r>
          </w:p>
          <w:p>
            <w:pPr>
              <w:rPr>
                <w:rFonts w:hint="eastAsia" w:ascii="宋体" w:hAnsi="宋体" w:cs="宋体"/>
                <w:color w:val="000000"/>
                <w:szCs w:val="21"/>
                <w:lang w:val="en-GB"/>
              </w:rPr>
            </w:pPr>
            <w:r>
              <w:rPr>
                <w:rFonts w:hint="eastAsia" w:ascii="宋体" w:hAnsi="宋体" w:cs="宋体"/>
                <w:color w:val="000000"/>
                <w:szCs w:val="21"/>
                <w:lang w:val="en-GB"/>
              </w:rPr>
              <w:t>产品参数：</w:t>
            </w:r>
          </w:p>
          <w:p>
            <w:pPr>
              <w:rPr>
                <w:rFonts w:hint="eastAsia" w:ascii="宋体" w:hAnsi="宋体" w:cs="宋体"/>
                <w:color w:val="000000"/>
                <w:szCs w:val="21"/>
                <w:lang w:val="en-GB"/>
              </w:rPr>
            </w:pPr>
            <w:r>
              <w:rPr>
                <w:rFonts w:hint="eastAsia" w:ascii="宋体" w:hAnsi="宋体" w:cs="宋体"/>
                <w:color w:val="000000"/>
                <w:szCs w:val="21"/>
                <w:lang w:val="en-GB"/>
              </w:rPr>
              <w:t>1.额定功率：立体声8Ω：2×80W，立体声4Ω：2×120W</w:t>
            </w:r>
          </w:p>
          <w:p>
            <w:pPr>
              <w:rPr>
                <w:rFonts w:hint="eastAsia" w:ascii="宋体" w:hAnsi="宋体" w:cs="宋体"/>
                <w:color w:val="000000"/>
                <w:szCs w:val="21"/>
                <w:lang w:val="en-GB"/>
              </w:rPr>
            </w:pPr>
            <w:r>
              <w:rPr>
                <w:rFonts w:hint="eastAsia" w:ascii="宋体" w:hAnsi="宋体" w:cs="宋体"/>
                <w:color w:val="000000"/>
                <w:szCs w:val="21"/>
                <w:lang w:val="en-GB"/>
              </w:rPr>
              <w:t>2.频率响应：20Hz-20KHz</w:t>
            </w:r>
          </w:p>
          <w:p>
            <w:pPr>
              <w:rPr>
                <w:rFonts w:hint="eastAsia" w:ascii="宋体" w:hAnsi="宋体" w:cs="宋体"/>
                <w:color w:val="000000"/>
                <w:szCs w:val="21"/>
                <w:lang w:val="en-GB"/>
              </w:rPr>
            </w:pPr>
            <w:r>
              <w:rPr>
                <w:rFonts w:hint="eastAsia" w:ascii="宋体" w:hAnsi="宋体" w:cs="宋体"/>
                <w:color w:val="000000"/>
                <w:szCs w:val="21"/>
                <w:lang w:val="en-GB"/>
              </w:rPr>
              <w:t>3.话筒输入：3路</w:t>
            </w:r>
          </w:p>
          <w:p>
            <w:pPr>
              <w:rPr>
                <w:rFonts w:hint="eastAsia" w:ascii="宋体" w:hAnsi="宋体" w:cs="宋体"/>
                <w:color w:val="000000"/>
                <w:szCs w:val="21"/>
                <w:lang w:val="en-GB"/>
              </w:rPr>
            </w:pPr>
            <w:r>
              <w:rPr>
                <w:rFonts w:hint="eastAsia" w:ascii="宋体" w:hAnsi="宋体" w:cs="宋体"/>
                <w:color w:val="000000"/>
                <w:szCs w:val="21"/>
                <w:lang w:val="en-GB"/>
              </w:rPr>
              <w:t>4.音频输入：4路（四选一，手动选择）</w:t>
            </w:r>
          </w:p>
          <w:p>
            <w:pPr>
              <w:rPr>
                <w:rFonts w:hint="eastAsia" w:ascii="宋体" w:hAnsi="宋体" w:cs="宋体"/>
                <w:color w:val="000000"/>
                <w:szCs w:val="21"/>
                <w:lang w:val="en-GB"/>
              </w:rPr>
            </w:pPr>
            <w:r>
              <w:rPr>
                <w:rFonts w:hint="eastAsia" w:ascii="宋体" w:hAnsi="宋体" w:cs="宋体"/>
                <w:color w:val="000000"/>
                <w:szCs w:val="21"/>
                <w:lang w:val="en-GB"/>
              </w:rPr>
              <w:t>5.音频输出：1路录音输出，2组端子功率输出</w:t>
            </w:r>
          </w:p>
          <w:p>
            <w:pPr>
              <w:rPr>
                <w:rFonts w:hint="eastAsia" w:ascii="宋体" w:hAnsi="宋体" w:cs="宋体"/>
                <w:color w:val="000000"/>
                <w:szCs w:val="21"/>
                <w:lang w:val="en-GB"/>
              </w:rPr>
            </w:pPr>
            <w:r>
              <w:rPr>
                <w:rFonts w:hint="eastAsia" w:ascii="宋体" w:hAnsi="宋体" w:cs="宋体"/>
                <w:color w:val="000000"/>
                <w:szCs w:val="21"/>
                <w:lang w:val="en-GB"/>
              </w:rPr>
              <w:t>6.输入灵敏度/阻抗：话筒：5-80mv/600Ω,线路：250-775mv/47KΩ</w:t>
            </w:r>
          </w:p>
          <w:p>
            <w:pPr>
              <w:rPr>
                <w:rFonts w:hint="eastAsia" w:ascii="宋体" w:hAnsi="宋体" w:cs="宋体"/>
                <w:color w:val="000000"/>
                <w:szCs w:val="21"/>
                <w:lang w:val="en-GB"/>
              </w:rPr>
            </w:pPr>
            <w:r>
              <w:rPr>
                <w:rFonts w:hint="eastAsia" w:ascii="宋体" w:hAnsi="宋体" w:cs="宋体"/>
                <w:color w:val="000000"/>
                <w:szCs w:val="21"/>
                <w:lang w:val="en-GB"/>
              </w:rPr>
              <w:t>7.输出灵敏度/阻抗：线路：0.775v/1KΩ</w:t>
            </w:r>
          </w:p>
          <w:p>
            <w:pPr>
              <w:rPr>
                <w:rFonts w:hint="eastAsia" w:ascii="宋体" w:hAnsi="宋体" w:cs="宋体"/>
                <w:color w:val="000000"/>
                <w:szCs w:val="21"/>
                <w:lang w:val="en-GB"/>
              </w:rPr>
            </w:pPr>
            <w:r>
              <w:rPr>
                <w:rFonts w:hint="eastAsia" w:ascii="宋体" w:hAnsi="宋体" w:cs="宋体"/>
                <w:color w:val="000000"/>
                <w:szCs w:val="21"/>
                <w:lang w:val="en-GB"/>
              </w:rPr>
              <w:t>8.电源：AC220-240V,50Hz</w:t>
            </w:r>
          </w:p>
          <w:p>
            <w:pPr>
              <w:rPr>
                <w:rFonts w:ascii="宋体" w:hAnsi="宋体" w:cs="宋体"/>
                <w:color w:val="000000"/>
                <w:szCs w:val="21"/>
                <w:lang w:val="en-GB"/>
              </w:rPr>
            </w:pPr>
            <w:r>
              <w:rPr>
                <w:rFonts w:hint="eastAsia" w:ascii="宋体" w:hAnsi="宋体" w:cs="宋体"/>
                <w:color w:val="000000"/>
                <w:szCs w:val="21"/>
                <w:lang w:val="en-GB"/>
              </w:rPr>
              <w:t>9.产品尺寸（L*W*H）：430*330*130mm</w:t>
            </w:r>
          </w:p>
        </w:tc>
        <w:tc>
          <w:tcPr>
            <w:tcW w:w="780" w:type="dxa"/>
            <w:vAlign w:val="center"/>
          </w:tcPr>
          <w:p>
            <w:pPr>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1台</w:t>
            </w:r>
          </w:p>
        </w:tc>
        <w:tc>
          <w:tcPr>
            <w:tcW w:w="840" w:type="dxa"/>
            <w:vAlign w:val="center"/>
          </w:tcPr>
          <w:p>
            <w:pPr>
              <w:jc w:val="center"/>
              <w:rPr>
                <w:rFonts w:hint="eastAsia" w:eastAsia="宋体"/>
                <w:lang w:eastAsia="zh-CN"/>
              </w:rPr>
            </w:pPr>
          </w:p>
        </w:tc>
        <w:tc>
          <w:tcPr>
            <w:tcW w:w="974" w:type="dxa"/>
            <w:vAlign w:val="center"/>
          </w:tcPr>
          <w:p>
            <w:pPr>
              <w:jc w:val="center"/>
              <w:rPr>
                <w:rFonts w:ascii="华文楷体" w:hAnsi="华文楷体" w:eastAsia="华文楷体"/>
                <w:sz w:val="21"/>
                <w:szCs w:val="21"/>
              </w:rPr>
            </w:pPr>
          </w:p>
        </w:tc>
        <w:tc>
          <w:tcPr>
            <w:tcW w:w="1214" w:type="dxa"/>
            <w:vAlign w:val="center"/>
          </w:tcPr>
          <w:p>
            <w:pPr>
              <w:jc w:val="center"/>
              <w:rPr>
                <w:rFonts w:ascii="华文楷体" w:hAnsi="华文楷体" w:eastAsia="华文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00" w:type="dxa"/>
            <w:vAlign w:val="center"/>
          </w:tcPr>
          <w:p>
            <w:pPr>
              <w:pStyle w:val="7"/>
              <w:widowControl w:val="0"/>
              <w:jc w:val="center"/>
              <w:rPr>
                <w:rStyle w:val="11"/>
                <w:rFonts w:hint="default" w:ascii="华文楷体" w:hAnsi="华文楷体" w:eastAsia="华文楷体"/>
                <w:b w:val="0"/>
                <w:bCs w:val="0"/>
                <w:sz w:val="21"/>
                <w:szCs w:val="21"/>
                <w:lang w:val="en-US" w:eastAsia="zh-CN"/>
              </w:rPr>
            </w:pPr>
            <w:r>
              <w:rPr>
                <w:rStyle w:val="11"/>
                <w:rFonts w:hint="eastAsia" w:ascii="华文楷体" w:hAnsi="华文楷体" w:eastAsia="华文楷体"/>
                <w:b w:val="0"/>
                <w:bCs w:val="0"/>
                <w:sz w:val="21"/>
                <w:szCs w:val="21"/>
                <w:lang w:val="en-US" w:eastAsia="zh-CN"/>
              </w:rPr>
              <w:t>7</w:t>
            </w:r>
          </w:p>
        </w:tc>
        <w:tc>
          <w:tcPr>
            <w:tcW w:w="705" w:type="dxa"/>
            <w:vAlign w:val="center"/>
          </w:tcPr>
          <w:p>
            <w:pPr>
              <w:spacing w:line="340" w:lineRule="exact"/>
              <w:rPr>
                <w:rFonts w:hint="eastAsia" w:ascii="宋体" w:hAnsi="宋体" w:cs="宋体"/>
                <w:color w:val="000000"/>
                <w:szCs w:val="21"/>
              </w:rPr>
            </w:pPr>
            <w:r>
              <w:rPr>
                <w:rFonts w:hint="eastAsia" w:ascii="宋体" w:hAnsi="宋体" w:cs="宋体"/>
                <w:color w:val="000000"/>
                <w:szCs w:val="21"/>
              </w:rPr>
              <w:t>U段一拖二无线会议</w:t>
            </w:r>
          </w:p>
        </w:tc>
        <w:tc>
          <w:tcPr>
            <w:tcW w:w="5220" w:type="dxa"/>
            <w:vAlign w:val="center"/>
          </w:tcPr>
          <w:p>
            <w:pPr>
              <w:rPr>
                <w:rFonts w:hint="eastAsia" w:ascii="宋体" w:hAnsi="宋体" w:cs="宋体"/>
                <w:color w:val="000000"/>
                <w:szCs w:val="21"/>
                <w:lang w:val="en-GB"/>
              </w:rPr>
            </w:pPr>
            <w:r>
              <w:rPr>
                <w:rFonts w:hint="eastAsia" w:ascii="宋体" w:hAnsi="宋体" w:cs="宋体"/>
                <w:color w:val="000000"/>
                <w:szCs w:val="21"/>
                <w:lang w:val="en-GB"/>
              </w:rPr>
              <w:t>功能特点：</w:t>
            </w:r>
          </w:p>
          <w:p>
            <w:pPr>
              <w:rPr>
                <w:rFonts w:hint="eastAsia" w:ascii="宋体" w:hAnsi="宋体" w:cs="宋体"/>
                <w:color w:val="000000"/>
                <w:szCs w:val="21"/>
                <w:lang w:val="en-GB"/>
              </w:rPr>
            </w:pPr>
            <w:r>
              <w:rPr>
                <w:rFonts w:hint="eastAsia" w:ascii="宋体" w:hAnsi="宋体" w:cs="宋体"/>
                <w:color w:val="000000"/>
                <w:szCs w:val="21"/>
                <w:lang w:val="en-GB"/>
              </w:rPr>
              <w:t>1.UHF频段传输信号，频率范围：500MHz-900MHz；</w:t>
            </w:r>
          </w:p>
          <w:p>
            <w:pPr>
              <w:rPr>
                <w:rFonts w:hint="eastAsia" w:ascii="宋体" w:hAnsi="宋体" w:cs="宋体"/>
                <w:color w:val="000000"/>
                <w:szCs w:val="21"/>
                <w:lang w:val="en-GB"/>
              </w:rPr>
            </w:pPr>
            <w:r>
              <w:rPr>
                <w:rFonts w:hint="eastAsia" w:ascii="宋体" w:hAnsi="宋体" w:cs="宋体"/>
                <w:color w:val="000000"/>
                <w:szCs w:val="21"/>
                <w:lang w:val="en-GB"/>
              </w:rPr>
              <w:t>2.2通道接收信号,每通道有50个信道可选，每个信道以250KHz步进；每通道用12.25MHz；</w:t>
            </w:r>
          </w:p>
          <w:p>
            <w:pPr>
              <w:rPr>
                <w:rFonts w:hint="eastAsia" w:ascii="宋体" w:hAnsi="宋体" w:cs="宋体"/>
                <w:color w:val="000000"/>
                <w:szCs w:val="21"/>
                <w:lang w:val="en-GB"/>
              </w:rPr>
            </w:pPr>
            <w:r>
              <w:rPr>
                <w:rFonts w:hint="eastAsia" w:ascii="宋体" w:hAnsi="宋体" w:cs="宋体"/>
                <w:color w:val="000000"/>
                <w:szCs w:val="21"/>
                <w:lang w:val="en-GB"/>
              </w:rPr>
              <w:t>3.采用稳定的PLL数位锁相环合成技术和智能数字线路，整机性能稳定性显著提高；</w:t>
            </w:r>
          </w:p>
          <w:p>
            <w:pPr>
              <w:rPr>
                <w:rFonts w:hint="eastAsia" w:ascii="宋体" w:hAnsi="宋体" w:cs="宋体"/>
                <w:color w:val="000000"/>
                <w:szCs w:val="21"/>
                <w:lang w:val="en-GB"/>
              </w:rPr>
            </w:pPr>
            <w:r>
              <w:rPr>
                <w:rFonts w:hint="eastAsia" w:ascii="宋体" w:hAnsi="宋体" w:cs="宋体"/>
                <w:color w:val="000000"/>
                <w:szCs w:val="21"/>
                <w:lang w:val="en-GB"/>
              </w:rPr>
              <w:t>4.各通道配备独有的ID号，增强抗干扰功能，支持40台同时使用（即40台接收机和80个发射器）；</w:t>
            </w:r>
          </w:p>
          <w:p>
            <w:pPr>
              <w:rPr>
                <w:rFonts w:hint="eastAsia" w:ascii="宋体" w:hAnsi="宋体" w:cs="宋体"/>
                <w:color w:val="000000"/>
                <w:szCs w:val="21"/>
                <w:lang w:val="en-GB"/>
              </w:rPr>
            </w:pPr>
            <w:r>
              <w:rPr>
                <w:rFonts w:hint="eastAsia" w:ascii="宋体" w:hAnsi="宋体" w:cs="宋体"/>
                <w:color w:val="000000"/>
                <w:szCs w:val="21"/>
                <w:lang w:val="en-GB"/>
              </w:rPr>
              <w:t>5.高保真单指向性电容咪芯，声音还原好。拾音距离可达到30-50CM；</w:t>
            </w:r>
          </w:p>
          <w:p>
            <w:pPr>
              <w:rPr>
                <w:rFonts w:hint="eastAsia" w:ascii="宋体" w:hAnsi="宋体" w:cs="宋体"/>
                <w:color w:val="000000"/>
                <w:szCs w:val="21"/>
                <w:lang w:val="en-GB"/>
              </w:rPr>
            </w:pPr>
            <w:r>
              <w:rPr>
                <w:rFonts w:hint="eastAsia" w:ascii="宋体" w:hAnsi="宋体" w:cs="宋体"/>
                <w:color w:val="000000"/>
                <w:szCs w:val="21"/>
                <w:lang w:val="en-GB"/>
              </w:rPr>
              <w:t>6.接收机背面设置2条橡胶接收天线，增强接收的信号，外观大方得体；</w:t>
            </w:r>
          </w:p>
          <w:p>
            <w:pPr>
              <w:rPr>
                <w:rFonts w:hint="eastAsia" w:ascii="宋体" w:hAnsi="宋体" w:cs="宋体"/>
                <w:color w:val="000000"/>
                <w:szCs w:val="21"/>
                <w:lang w:val="en-GB"/>
              </w:rPr>
            </w:pPr>
            <w:r>
              <w:rPr>
                <w:rFonts w:hint="eastAsia" w:ascii="宋体" w:hAnsi="宋体" w:cs="宋体"/>
                <w:color w:val="000000"/>
                <w:szCs w:val="21"/>
                <w:lang w:val="en-GB"/>
              </w:rPr>
              <w:t>7.背面设有2个平衡输出和1个混合非平衡输出，适合连接各种外置设备；</w:t>
            </w:r>
          </w:p>
          <w:p>
            <w:pPr>
              <w:rPr>
                <w:rFonts w:hint="eastAsia" w:ascii="宋体" w:hAnsi="宋体" w:cs="宋体"/>
                <w:color w:val="000000"/>
                <w:szCs w:val="21"/>
                <w:lang w:val="en-GB"/>
              </w:rPr>
            </w:pPr>
            <w:r>
              <w:rPr>
                <w:rFonts w:hint="eastAsia" w:ascii="宋体" w:hAnsi="宋体" w:cs="宋体"/>
                <w:color w:val="000000"/>
                <w:szCs w:val="21"/>
                <w:lang w:val="en-GB"/>
              </w:rPr>
              <w:t>8.400个信道中互通互用，尽显人性化的高新技术设计；(同一发射可在拖二、拖四、拖八中互通互用)</w:t>
            </w:r>
          </w:p>
          <w:p>
            <w:pPr>
              <w:rPr>
                <w:rFonts w:hint="eastAsia" w:ascii="宋体" w:hAnsi="宋体" w:cs="宋体"/>
                <w:color w:val="000000"/>
                <w:szCs w:val="21"/>
                <w:lang w:val="en-GB"/>
              </w:rPr>
            </w:pPr>
            <w:r>
              <w:rPr>
                <w:rFonts w:hint="eastAsia" w:ascii="宋体" w:hAnsi="宋体" w:cs="宋体"/>
                <w:color w:val="000000"/>
                <w:szCs w:val="21"/>
                <w:lang w:val="en-GB"/>
              </w:rPr>
              <w:t>9.灵活的鹅颈式咪杆设计，可360°全方位调节，咪杆灯环指示发言状态。</w:t>
            </w:r>
          </w:p>
          <w:p>
            <w:pPr>
              <w:rPr>
                <w:rFonts w:hint="eastAsia" w:ascii="宋体" w:hAnsi="宋体" w:cs="宋体"/>
                <w:color w:val="000000"/>
                <w:szCs w:val="21"/>
                <w:lang w:val="en-GB"/>
              </w:rPr>
            </w:pPr>
            <w:r>
              <w:rPr>
                <w:rFonts w:hint="eastAsia" w:ascii="宋体" w:hAnsi="宋体" w:cs="宋体"/>
                <w:color w:val="000000"/>
                <w:szCs w:val="21"/>
                <w:lang w:val="en-GB"/>
              </w:rPr>
              <w:t>10.话筒耗电量为80mA，使用1.5V电池（2粒）供电，可连续使用8小时；</w:t>
            </w:r>
          </w:p>
          <w:p>
            <w:pPr>
              <w:rPr>
                <w:rFonts w:hint="eastAsia" w:ascii="宋体" w:hAnsi="宋体" w:cs="宋体"/>
                <w:color w:val="000000"/>
                <w:szCs w:val="21"/>
                <w:lang w:val="en-GB"/>
              </w:rPr>
            </w:pPr>
            <w:r>
              <w:rPr>
                <w:rFonts w:hint="eastAsia" w:ascii="宋体" w:hAnsi="宋体" w:cs="宋体"/>
                <w:color w:val="000000"/>
                <w:szCs w:val="21"/>
                <w:lang w:val="en-GB"/>
              </w:rPr>
              <w:t>11.主机和发射器均具备LCD屏显示工作状态等内容</w:t>
            </w:r>
          </w:p>
          <w:p>
            <w:pPr>
              <w:rPr>
                <w:rFonts w:hint="eastAsia" w:ascii="宋体" w:hAnsi="宋体" w:cs="宋体"/>
                <w:color w:val="000000"/>
                <w:szCs w:val="21"/>
                <w:lang w:val="en-GB"/>
              </w:rPr>
            </w:pPr>
            <w:r>
              <w:rPr>
                <w:rFonts w:hint="eastAsia" w:ascii="宋体" w:hAnsi="宋体" w:cs="宋体"/>
                <w:color w:val="000000"/>
                <w:szCs w:val="21"/>
                <w:lang w:val="en-GB"/>
              </w:rPr>
              <w:t xml:space="preserve">12.使用距离: 空旷环境：80-100米，复杂环境：50-80米            </w:t>
            </w:r>
          </w:p>
          <w:p>
            <w:pPr>
              <w:rPr>
                <w:rFonts w:hint="eastAsia" w:ascii="宋体" w:hAnsi="宋体" w:cs="宋体"/>
                <w:color w:val="000000"/>
                <w:szCs w:val="21"/>
                <w:lang w:val="en-GB"/>
              </w:rPr>
            </w:pPr>
            <w:r>
              <w:rPr>
                <w:rFonts w:hint="eastAsia" w:ascii="宋体" w:hAnsi="宋体" w:cs="宋体"/>
                <w:color w:val="000000"/>
                <w:szCs w:val="21"/>
                <w:lang w:val="en-GB"/>
              </w:rPr>
              <w:t>13.适用于各种会议和演讲场合，本型号含1台接收机+2支桌面话筒。</w:t>
            </w:r>
          </w:p>
          <w:p>
            <w:pPr>
              <w:rPr>
                <w:rFonts w:hint="eastAsia" w:ascii="宋体" w:hAnsi="宋体" w:cs="宋体"/>
                <w:color w:val="000000"/>
                <w:szCs w:val="21"/>
                <w:lang w:val="en-GB"/>
              </w:rPr>
            </w:pPr>
            <w:r>
              <w:rPr>
                <w:rFonts w:hint="eastAsia" w:ascii="宋体" w:hAnsi="宋体" w:cs="宋体"/>
                <w:color w:val="000000"/>
                <w:szCs w:val="21"/>
                <w:lang w:val="en-GB"/>
              </w:rPr>
              <w:t>技术参数：</w:t>
            </w:r>
          </w:p>
          <w:p>
            <w:pPr>
              <w:rPr>
                <w:rFonts w:hint="eastAsia" w:ascii="宋体" w:hAnsi="宋体" w:cs="宋体"/>
                <w:color w:val="000000"/>
                <w:szCs w:val="21"/>
                <w:lang w:val="en-GB"/>
              </w:rPr>
            </w:pPr>
            <w:r>
              <w:rPr>
                <w:rFonts w:hint="eastAsia" w:ascii="宋体" w:hAnsi="宋体" w:cs="宋体"/>
                <w:color w:val="000000"/>
                <w:szCs w:val="21"/>
                <w:lang w:val="en-GB"/>
              </w:rPr>
              <w:t>1.振荡方式: 锁相环频率合成PLL</w:t>
            </w:r>
          </w:p>
          <w:p>
            <w:pPr>
              <w:rPr>
                <w:rFonts w:hint="eastAsia" w:ascii="宋体" w:hAnsi="宋体" w:cs="宋体"/>
                <w:color w:val="000000"/>
                <w:szCs w:val="21"/>
                <w:lang w:val="en-GB"/>
              </w:rPr>
            </w:pPr>
            <w:r>
              <w:rPr>
                <w:rFonts w:hint="eastAsia" w:ascii="宋体" w:hAnsi="宋体" w:cs="宋体"/>
                <w:color w:val="000000"/>
                <w:szCs w:val="21"/>
                <w:lang w:val="en-GB"/>
              </w:rPr>
              <w:t>2.频率范围：UHF 500MHz～900MHz</w:t>
            </w:r>
          </w:p>
          <w:p>
            <w:pPr>
              <w:rPr>
                <w:rFonts w:hint="eastAsia" w:ascii="宋体" w:hAnsi="宋体" w:cs="宋体"/>
                <w:color w:val="000000"/>
                <w:szCs w:val="21"/>
                <w:lang w:val="en-GB"/>
              </w:rPr>
            </w:pPr>
            <w:r>
              <w:rPr>
                <w:rFonts w:hint="eastAsia" w:ascii="宋体" w:hAnsi="宋体" w:cs="宋体"/>
                <w:color w:val="000000"/>
                <w:szCs w:val="21"/>
                <w:lang w:val="en-GB"/>
              </w:rPr>
              <w:t>3.频率稳定性：±0.001%</w:t>
            </w:r>
          </w:p>
          <w:p>
            <w:pPr>
              <w:rPr>
                <w:rFonts w:hint="eastAsia" w:ascii="宋体" w:hAnsi="宋体" w:cs="宋体"/>
                <w:color w:val="000000"/>
                <w:szCs w:val="21"/>
                <w:lang w:val="en-GB"/>
              </w:rPr>
            </w:pPr>
            <w:r>
              <w:rPr>
                <w:rFonts w:hint="eastAsia" w:ascii="宋体" w:hAnsi="宋体" w:cs="宋体"/>
                <w:color w:val="000000"/>
                <w:szCs w:val="21"/>
                <w:lang w:val="en-GB"/>
              </w:rPr>
              <w:t>4.最大频率偏：±50KHz</w:t>
            </w:r>
          </w:p>
          <w:p>
            <w:pPr>
              <w:rPr>
                <w:rFonts w:hint="eastAsia" w:ascii="宋体" w:hAnsi="宋体" w:cs="宋体"/>
                <w:color w:val="000000"/>
                <w:szCs w:val="21"/>
                <w:lang w:val="en-GB"/>
              </w:rPr>
            </w:pPr>
            <w:r>
              <w:rPr>
                <w:rFonts w:hint="eastAsia" w:ascii="宋体" w:hAnsi="宋体" w:cs="宋体"/>
                <w:color w:val="000000"/>
                <w:szCs w:val="21"/>
                <w:lang w:val="en-GB"/>
              </w:rPr>
              <w:t>5.调制方式：FM</w:t>
            </w:r>
          </w:p>
          <w:p>
            <w:pPr>
              <w:rPr>
                <w:rFonts w:hint="eastAsia" w:ascii="宋体" w:hAnsi="宋体" w:cs="宋体"/>
                <w:color w:val="000000"/>
                <w:szCs w:val="21"/>
                <w:lang w:val="en-GB"/>
              </w:rPr>
            </w:pPr>
            <w:r>
              <w:rPr>
                <w:rFonts w:hint="eastAsia" w:ascii="宋体" w:hAnsi="宋体" w:cs="宋体"/>
                <w:color w:val="000000"/>
                <w:szCs w:val="21"/>
                <w:lang w:val="en-GB"/>
              </w:rPr>
              <w:t>6.信噪比：&gt;105dB</w:t>
            </w:r>
          </w:p>
          <w:p>
            <w:pPr>
              <w:rPr>
                <w:rFonts w:hint="eastAsia" w:ascii="宋体" w:hAnsi="宋体" w:cs="宋体"/>
                <w:color w:val="000000"/>
                <w:szCs w:val="21"/>
                <w:lang w:val="en-GB"/>
              </w:rPr>
            </w:pPr>
            <w:r>
              <w:rPr>
                <w:rFonts w:hint="eastAsia" w:ascii="宋体" w:hAnsi="宋体" w:cs="宋体"/>
                <w:color w:val="000000"/>
                <w:szCs w:val="21"/>
                <w:lang w:val="en-GB"/>
              </w:rPr>
              <w:t xml:space="preserve">7.失真度:&lt;0.5%@1KHz           </w:t>
            </w:r>
          </w:p>
          <w:p>
            <w:pPr>
              <w:rPr>
                <w:rFonts w:hint="eastAsia" w:ascii="宋体" w:hAnsi="宋体" w:cs="宋体"/>
                <w:color w:val="000000"/>
                <w:szCs w:val="21"/>
                <w:lang w:val="en-GB"/>
              </w:rPr>
            </w:pPr>
            <w:r>
              <w:rPr>
                <w:rFonts w:hint="eastAsia" w:ascii="宋体" w:hAnsi="宋体" w:cs="宋体"/>
                <w:color w:val="000000"/>
                <w:szCs w:val="21"/>
                <w:lang w:val="en-GB"/>
              </w:rPr>
              <w:t>8.电源供应：DC:12V～17V</w:t>
            </w:r>
          </w:p>
          <w:p>
            <w:pPr>
              <w:rPr>
                <w:rFonts w:hint="eastAsia" w:ascii="宋体" w:hAnsi="宋体" w:cs="宋体"/>
                <w:color w:val="000000"/>
                <w:szCs w:val="21"/>
                <w:lang w:val="en-GB"/>
              </w:rPr>
            </w:pPr>
            <w:r>
              <w:rPr>
                <w:rFonts w:hint="eastAsia" w:ascii="宋体" w:hAnsi="宋体" w:cs="宋体"/>
                <w:color w:val="000000"/>
                <w:szCs w:val="21"/>
                <w:lang w:val="en-GB"/>
              </w:rPr>
              <w:t>9.类型：电容式</w:t>
            </w:r>
          </w:p>
          <w:p>
            <w:pPr>
              <w:rPr>
                <w:rFonts w:hint="eastAsia" w:ascii="宋体" w:hAnsi="宋体" w:cs="宋体"/>
                <w:color w:val="000000"/>
                <w:szCs w:val="21"/>
                <w:lang w:val="en-GB"/>
              </w:rPr>
            </w:pPr>
            <w:r>
              <w:rPr>
                <w:rFonts w:hint="eastAsia" w:ascii="宋体" w:hAnsi="宋体" w:cs="宋体"/>
                <w:color w:val="000000"/>
                <w:szCs w:val="21"/>
                <w:lang w:val="en-GB"/>
              </w:rPr>
              <w:t>10.极性模式：单一指向性</w:t>
            </w:r>
          </w:p>
          <w:p>
            <w:pPr>
              <w:rPr>
                <w:rFonts w:hint="eastAsia" w:ascii="宋体" w:hAnsi="宋体" w:cs="宋体"/>
                <w:color w:val="000000"/>
                <w:szCs w:val="21"/>
                <w:lang w:val="en-GB"/>
              </w:rPr>
            </w:pPr>
            <w:r>
              <w:rPr>
                <w:rFonts w:hint="eastAsia" w:ascii="宋体" w:hAnsi="宋体" w:cs="宋体"/>
                <w:color w:val="000000"/>
                <w:szCs w:val="21"/>
                <w:lang w:val="en-GB"/>
              </w:rPr>
              <w:t>11.频率响应：40Hz～20KHz</w:t>
            </w:r>
          </w:p>
          <w:p>
            <w:pPr>
              <w:rPr>
                <w:rFonts w:hint="eastAsia" w:ascii="宋体" w:hAnsi="宋体" w:cs="宋体"/>
                <w:color w:val="000000"/>
                <w:szCs w:val="21"/>
                <w:lang w:val="en-GB"/>
              </w:rPr>
            </w:pPr>
            <w:r>
              <w:rPr>
                <w:rFonts w:hint="eastAsia" w:ascii="宋体" w:hAnsi="宋体" w:cs="宋体"/>
                <w:color w:val="000000"/>
                <w:szCs w:val="21"/>
                <w:lang w:val="en-GB"/>
              </w:rPr>
              <w:t>12.话筒灵敏度：-47±3dB@1KHz</w:t>
            </w:r>
          </w:p>
          <w:p>
            <w:pPr>
              <w:rPr>
                <w:rFonts w:hint="eastAsia" w:ascii="宋体" w:hAnsi="宋体" w:cs="宋体"/>
                <w:color w:val="000000"/>
                <w:szCs w:val="21"/>
                <w:lang w:val="en-GB"/>
              </w:rPr>
            </w:pPr>
            <w:r>
              <w:rPr>
                <w:rFonts w:hint="eastAsia" w:ascii="宋体" w:hAnsi="宋体" w:cs="宋体"/>
                <w:color w:val="000000"/>
                <w:szCs w:val="21"/>
                <w:lang w:val="en-GB"/>
              </w:rPr>
              <w:t>13.尺寸(WxDxH)：420mm×180mm×44mm</w:t>
            </w:r>
          </w:p>
        </w:tc>
        <w:tc>
          <w:tcPr>
            <w:tcW w:w="780" w:type="dxa"/>
            <w:vAlign w:val="center"/>
          </w:tcPr>
          <w:p>
            <w:pPr>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1套</w:t>
            </w:r>
          </w:p>
        </w:tc>
        <w:tc>
          <w:tcPr>
            <w:tcW w:w="840" w:type="dxa"/>
            <w:vAlign w:val="center"/>
          </w:tcPr>
          <w:p>
            <w:pPr>
              <w:jc w:val="center"/>
              <w:rPr>
                <w:rFonts w:hint="default" w:ascii="宋体" w:hAnsi="宋体" w:cs="宋体"/>
                <w:color w:val="000000"/>
                <w:lang w:val="en-US" w:eastAsia="zh-CN"/>
              </w:rPr>
            </w:pPr>
          </w:p>
        </w:tc>
        <w:tc>
          <w:tcPr>
            <w:tcW w:w="974" w:type="dxa"/>
            <w:vAlign w:val="center"/>
          </w:tcPr>
          <w:p>
            <w:pPr>
              <w:jc w:val="center"/>
              <w:rPr>
                <w:rFonts w:ascii="华文楷体" w:hAnsi="华文楷体" w:eastAsia="华文楷体"/>
                <w:sz w:val="21"/>
                <w:szCs w:val="21"/>
              </w:rPr>
            </w:pPr>
          </w:p>
        </w:tc>
        <w:tc>
          <w:tcPr>
            <w:tcW w:w="1214" w:type="dxa"/>
            <w:vAlign w:val="center"/>
          </w:tcPr>
          <w:p>
            <w:pPr>
              <w:jc w:val="center"/>
              <w:rPr>
                <w:rFonts w:ascii="华文楷体" w:hAnsi="华文楷体" w:eastAsia="华文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00" w:type="dxa"/>
            <w:vAlign w:val="center"/>
          </w:tcPr>
          <w:p>
            <w:pPr>
              <w:pStyle w:val="7"/>
              <w:widowControl w:val="0"/>
              <w:jc w:val="center"/>
              <w:rPr>
                <w:rStyle w:val="11"/>
                <w:rFonts w:hint="default" w:ascii="华文楷体" w:hAnsi="华文楷体" w:eastAsia="华文楷体"/>
                <w:b w:val="0"/>
                <w:bCs w:val="0"/>
                <w:sz w:val="21"/>
                <w:szCs w:val="21"/>
                <w:lang w:val="en-US" w:eastAsia="zh-CN"/>
              </w:rPr>
            </w:pPr>
            <w:r>
              <w:rPr>
                <w:rStyle w:val="11"/>
                <w:rFonts w:hint="eastAsia" w:ascii="华文楷体" w:hAnsi="华文楷体" w:eastAsia="华文楷体"/>
                <w:b w:val="0"/>
                <w:bCs w:val="0"/>
                <w:sz w:val="21"/>
                <w:szCs w:val="21"/>
                <w:lang w:val="en-US" w:eastAsia="zh-CN"/>
              </w:rPr>
              <w:t>8</w:t>
            </w:r>
          </w:p>
        </w:tc>
        <w:tc>
          <w:tcPr>
            <w:tcW w:w="705" w:type="dxa"/>
            <w:vAlign w:val="center"/>
          </w:tcPr>
          <w:p>
            <w:pPr>
              <w:spacing w:line="340" w:lineRule="exact"/>
              <w:rPr>
                <w:rFonts w:hint="eastAsia" w:ascii="宋体" w:hAnsi="宋体" w:cs="宋体"/>
                <w:color w:val="000000"/>
                <w:szCs w:val="21"/>
              </w:rPr>
            </w:pPr>
            <w:r>
              <w:rPr>
                <w:rFonts w:hint="eastAsia" w:ascii="宋体" w:hAnsi="宋体" w:cs="宋体"/>
                <w:color w:val="000000"/>
                <w:szCs w:val="21"/>
              </w:rPr>
              <w:t>网络机柜</w:t>
            </w:r>
          </w:p>
        </w:tc>
        <w:tc>
          <w:tcPr>
            <w:tcW w:w="5220" w:type="dxa"/>
            <w:vAlign w:val="center"/>
          </w:tcPr>
          <w:p>
            <w:pPr>
              <w:rPr>
                <w:rFonts w:hint="eastAsia" w:ascii="宋体" w:hAnsi="宋体" w:cs="宋体"/>
                <w:color w:val="000000"/>
                <w:szCs w:val="21"/>
                <w:lang w:val="en-GB"/>
              </w:rPr>
            </w:pPr>
            <w:r>
              <w:rPr>
                <w:rFonts w:hint="default" w:ascii="宋体" w:hAnsi="宋体" w:cs="宋体"/>
                <w:color w:val="000000"/>
                <w:szCs w:val="21"/>
                <w:lang w:val="en-GB"/>
              </w:rPr>
              <w:t>600X600X1200 前玻璃后网孔 22U网络机柜 1.2米</w:t>
            </w:r>
          </w:p>
        </w:tc>
        <w:tc>
          <w:tcPr>
            <w:tcW w:w="780" w:type="dxa"/>
            <w:vAlign w:val="center"/>
          </w:tcPr>
          <w:p>
            <w:pPr>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1台</w:t>
            </w:r>
          </w:p>
        </w:tc>
        <w:tc>
          <w:tcPr>
            <w:tcW w:w="840" w:type="dxa"/>
            <w:vAlign w:val="center"/>
          </w:tcPr>
          <w:p>
            <w:pPr>
              <w:jc w:val="center"/>
              <w:rPr>
                <w:rFonts w:hint="default" w:ascii="宋体" w:hAnsi="宋体" w:cs="宋体"/>
                <w:color w:val="000000"/>
                <w:lang w:val="en-US" w:eastAsia="zh-CN"/>
              </w:rPr>
            </w:pPr>
          </w:p>
        </w:tc>
        <w:tc>
          <w:tcPr>
            <w:tcW w:w="974" w:type="dxa"/>
            <w:vAlign w:val="center"/>
          </w:tcPr>
          <w:p>
            <w:pPr>
              <w:jc w:val="center"/>
              <w:rPr>
                <w:rFonts w:ascii="华文楷体" w:hAnsi="华文楷体" w:eastAsia="华文楷体"/>
                <w:sz w:val="21"/>
                <w:szCs w:val="21"/>
              </w:rPr>
            </w:pPr>
          </w:p>
        </w:tc>
        <w:tc>
          <w:tcPr>
            <w:tcW w:w="1214" w:type="dxa"/>
            <w:vAlign w:val="center"/>
          </w:tcPr>
          <w:p>
            <w:pPr>
              <w:jc w:val="center"/>
              <w:rPr>
                <w:rFonts w:ascii="华文楷体" w:hAnsi="华文楷体" w:eastAsia="华文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00" w:type="dxa"/>
            <w:vAlign w:val="center"/>
          </w:tcPr>
          <w:p>
            <w:pPr>
              <w:pStyle w:val="7"/>
              <w:widowControl w:val="0"/>
              <w:jc w:val="center"/>
              <w:rPr>
                <w:rStyle w:val="11"/>
                <w:rFonts w:hint="eastAsia" w:ascii="华文楷体" w:hAnsi="华文楷体" w:eastAsia="华文楷体"/>
                <w:b w:val="0"/>
                <w:bCs w:val="0"/>
                <w:sz w:val="21"/>
                <w:szCs w:val="21"/>
                <w:lang w:eastAsia="zh-CN"/>
              </w:rPr>
            </w:pPr>
            <w:r>
              <w:rPr>
                <w:rStyle w:val="11"/>
                <w:rFonts w:hint="eastAsia" w:ascii="华文楷体" w:hAnsi="华文楷体" w:eastAsia="华文楷体"/>
                <w:b w:val="0"/>
                <w:bCs w:val="0"/>
                <w:sz w:val="21"/>
                <w:szCs w:val="21"/>
                <w:lang w:val="en-US" w:eastAsia="zh-CN"/>
              </w:rPr>
              <w:t>9</w:t>
            </w:r>
          </w:p>
        </w:tc>
        <w:tc>
          <w:tcPr>
            <w:tcW w:w="705" w:type="dxa"/>
            <w:vAlign w:val="center"/>
          </w:tcPr>
          <w:p>
            <w:pPr>
              <w:rPr>
                <w:rFonts w:ascii="宋体" w:hAnsi="宋体" w:cs="宋体"/>
                <w:color w:val="000000"/>
                <w:szCs w:val="21"/>
              </w:rPr>
            </w:pPr>
            <w:r>
              <w:rPr>
                <w:rFonts w:hint="eastAsia" w:ascii="宋体" w:hAnsi="宋体" w:cs="宋体"/>
                <w:color w:val="000000"/>
              </w:rPr>
              <w:t>屏体包边</w:t>
            </w:r>
          </w:p>
        </w:tc>
        <w:tc>
          <w:tcPr>
            <w:tcW w:w="5220" w:type="dxa"/>
            <w:vAlign w:val="center"/>
          </w:tcPr>
          <w:p>
            <w:pPr>
              <w:rPr>
                <w:rFonts w:ascii="宋体" w:hAnsi="宋体" w:cs="宋体"/>
                <w:color w:val="000000"/>
                <w:szCs w:val="21"/>
                <w:lang w:val="en-GB"/>
              </w:rPr>
            </w:pPr>
            <w:r>
              <w:rPr>
                <w:rFonts w:hint="eastAsia" w:ascii="宋体" w:hAnsi="宋体" w:cs="宋体"/>
                <w:color w:val="000000"/>
              </w:rPr>
              <w:t>根据采购人实际使用环境进行定制，保证整体装饰美观大方</w:t>
            </w:r>
          </w:p>
        </w:tc>
        <w:tc>
          <w:tcPr>
            <w:tcW w:w="780" w:type="dxa"/>
            <w:vAlign w:val="center"/>
          </w:tcPr>
          <w:p>
            <w:pPr>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18.63㎡</w:t>
            </w:r>
          </w:p>
        </w:tc>
        <w:tc>
          <w:tcPr>
            <w:tcW w:w="840" w:type="dxa"/>
            <w:vAlign w:val="center"/>
          </w:tcPr>
          <w:p>
            <w:pPr>
              <w:jc w:val="center"/>
            </w:pPr>
          </w:p>
        </w:tc>
        <w:tc>
          <w:tcPr>
            <w:tcW w:w="974" w:type="dxa"/>
            <w:vAlign w:val="center"/>
          </w:tcPr>
          <w:p>
            <w:pPr>
              <w:jc w:val="center"/>
              <w:rPr>
                <w:rFonts w:ascii="华文楷体" w:hAnsi="华文楷体" w:eastAsia="华文楷体"/>
                <w:sz w:val="21"/>
                <w:szCs w:val="21"/>
              </w:rPr>
            </w:pPr>
          </w:p>
        </w:tc>
        <w:tc>
          <w:tcPr>
            <w:tcW w:w="1214" w:type="dxa"/>
            <w:vAlign w:val="center"/>
          </w:tcPr>
          <w:p>
            <w:pPr>
              <w:jc w:val="center"/>
              <w:rPr>
                <w:rFonts w:ascii="华文楷体" w:hAnsi="华文楷体" w:eastAsia="华文楷体"/>
                <w:sz w:val="21"/>
                <w:szCs w:val="21"/>
              </w:rPr>
            </w:pPr>
          </w:p>
        </w:tc>
      </w:tr>
      <w:tr>
        <w:trPr>
          <w:trHeight w:val="567" w:hRule="atLeast"/>
          <w:jc w:val="center"/>
        </w:trPr>
        <w:tc>
          <w:tcPr>
            <w:tcW w:w="600" w:type="dxa"/>
            <w:vAlign w:val="center"/>
          </w:tcPr>
          <w:p>
            <w:pPr>
              <w:pStyle w:val="7"/>
              <w:widowControl w:val="0"/>
              <w:jc w:val="center"/>
              <w:rPr>
                <w:rStyle w:val="11"/>
                <w:rFonts w:hint="default" w:ascii="华文楷体" w:hAnsi="华文楷体" w:eastAsia="华文楷体"/>
                <w:b w:val="0"/>
                <w:bCs w:val="0"/>
                <w:sz w:val="21"/>
                <w:szCs w:val="21"/>
                <w:lang w:val="en-US" w:eastAsia="zh-CN"/>
              </w:rPr>
            </w:pPr>
            <w:r>
              <w:rPr>
                <w:rStyle w:val="11"/>
                <w:rFonts w:hint="eastAsia" w:ascii="华文楷体" w:hAnsi="华文楷体" w:eastAsia="华文楷体"/>
                <w:b w:val="0"/>
                <w:bCs w:val="0"/>
                <w:sz w:val="21"/>
                <w:szCs w:val="21"/>
                <w:lang w:val="en-US" w:eastAsia="zh-CN"/>
              </w:rPr>
              <w:t>10</w:t>
            </w:r>
          </w:p>
        </w:tc>
        <w:tc>
          <w:tcPr>
            <w:tcW w:w="705" w:type="dxa"/>
            <w:vAlign w:val="center"/>
          </w:tcPr>
          <w:p>
            <w:pPr>
              <w:rPr>
                <w:rFonts w:ascii="华文楷体" w:hAnsi="华文楷体" w:eastAsia="华文楷体"/>
                <w:sz w:val="21"/>
                <w:szCs w:val="21"/>
              </w:rPr>
            </w:pPr>
            <w:r>
              <w:rPr>
                <w:rFonts w:hint="eastAsia" w:ascii="宋体" w:hAnsi="宋体" w:cs="宋体"/>
                <w:color w:val="000000"/>
              </w:rPr>
              <w:t>安装调试及维保</w:t>
            </w:r>
          </w:p>
        </w:tc>
        <w:tc>
          <w:tcPr>
            <w:tcW w:w="5220" w:type="dxa"/>
            <w:vAlign w:val="center"/>
          </w:tcPr>
          <w:p>
            <w:pPr>
              <w:rPr>
                <w:rFonts w:ascii="华文楷体" w:hAnsi="华文楷体" w:eastAsia="华文楷体"/>
                <w:sz w:val="21"/>
                <w:szCs w:val="21"/>
              </w:rPr>
            </w:pPr>
            <w:r>
              <w:rPr>
                <w:rFonts w:hint="eastAsia" w:ascii="宋体" w:hAnsi="宋体" w:cs="宋体"/>
                <w:color w:val="000000"/>
              </w:rPr>
              <w:t>显示屏体组装及现场安装调试费用，培训及货物运输费用，及其他各类设备连接线及跳线，屏体信号连接线，螺丝卡扣等，电源线等，满足系统要求</w:t>
            </w:r>
          </w:p>
        </w:tc>
        <w:tc>
          <w:tcPr>
            <w:tcW w:w="780" w:type="dxa"/>
            <w:vAlign w:val="center"/>
          </w:tcPr>
          <w:p>
            <w:pPr>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18.63㎡</w:t>
            </w:r>
          </w:p>
        </w:tc>
        <w:tc>
          <w:tcPr>
            <w:tcW w:w="840" w:type="dxa"/>
            <w:vAlign w:val="center"/>
          </w:tcPr>
          <w:p>
            <w:pPr>
              <w:jc w:val="center"/>
              <w:rPr>
                <w:rFonts w:ascii="华文楷体" w:hAnsi="华文楷体" w:eastAsia="华文楷体"/>
                <w:sz w:val="21"/>
                <w:szCs w:val="21"/>
              </w:rPr>
            </w:pPr>
          </w:p>
        </w:tc>
        <w:tc>
          <w:tcPr>
            <w:tcW w:w="974" w:type="dxa"/>
            <w:vAlign w:val="center"/>
          </w:tcPr>
          <w:p>
            <w:pPr>
              <w:jc w:val="center"/>
              <w:rPr>
                <w:rFonts w:ascii="华文楷体" w:hAnsi="华文楷体" w:eastAsia="华文楷体"/>
                <w:sz w:val="21"/>
                <w:szCs w:val="21"/>
              </w:rPr>
            </w:pPr>
          </w:p>
        </w:tc>
        <w:tc>
          <w:tcPr>
            <w:tcW w:w="1214" w:type="dxa"/>
            <w:vAlign w:val="center"/>
          </w:tcPr>
          <w:p>
            <w:pPr>
              <w:jc w:val="center"/>
              <w:rPr>
                <w:rFonts w:ascii="华文楷体" w:hAnsi="华文楷体" w:eastAsia="华文楷体"/>
                <w:sz w:val="21"/>
                <w:szCs w:val="21"/>
              </w:rPr>
            </w:pPr>
          </w:p>
        </w:tc>
      </w:tr>
      <w:tr>
        <w:trPr>
          <w:trHeight w:val="567" w:hRule="atLeast"/>
          <w:jc w:val="center"/>
        </w:trPr>
        <w:tc>
          <w:tcPr>
            <w:tcW w:w="600" w:type="dxa"/>
            <w:vAlign w:val="center"/>
          </w:tcPr>
          <w:p>
            <w:pPr>
              <w:pStyle w:val="7"/>
              <w:widowControl w:val="0"/>
              <w:jc w:val="center"/>
              <w:rPr>
                <w:rStyle w:val="11"/>
                <w:rFonts w:hint="default" w:ascii="华文楷体" w:hAnsi="华文楷体" w:eastAsia="华文楷体"/>
                <w:b w:val="0"/>
                <w:bCs w:val="0"/>
                <w:sz w:val="21"/>
                <w:szCs w:val="21"/>
                <w:lang w:val="en-US" w:eastAsia="zh-CN"/>
              </w:rPr>
            </w:pPr>
            <w:r>
              <w:rPr>
                <w:rStyle w:val="11"/>
                <w:rFonts w:hint="eastAsia" w:ascii="华文楷体" w:hAnsi="华文楷体" w:eastAsia="华文楷体"/>
                <w:b w:val="0"/>
                <w:bCs w:val="0"/>
                <w:sz w:val="21"/>
                <w:szCs w:val="21"/>
                <w:lang w:val="en-US" w:eastAsia="zh-CN"/>
              </w:rPr>
              <w:t>11</w:t>
            </w:r>
          </w:p>
        </w:tc>
        <w:tc>
          <w:tcPr>
            <w:tcW w:w="705" w:type="dxa"/>
            <w:vAlign w:val="center"/>
          </w:tcPr>
          <w:p>
            <w:pPr>
              <w:rPr>
                <w:rFonts w:ascii="宋体" w:hAnsi="宋体" w:cs="宋体"/>
                <w:color w:val="000000"/>
                <w:szCs w:val="21"/>
              </w:rPr>
            </w:pPr>
            <w:r>
              <w:rPr>
                <w:rFonts w:hint="eastAsia" w:ascii="宋体" w:hAnsi="宋体" w:cs="宋体"/>
                <w:color w:val="000000"/>
              </w:rPr>
              <w:t>综合布线</w:t>
            </w:r>
          </w:p>
        </w:tc>
        <w:tc>
          <w:tcPr>
            <w:tcW w:w="5220" w:type="dxa"/>
            <w:vAlign w:val="center"/>
          </w:tcPr>
          <w:p>
            <w:pPr>
              <w:rPr>
                <w:rFonts w:ascii="宋体" w:hAnsi="宋体" w:cs="宋体"/>
                <w:color w:val="000000"/>
                <w:szCs w:val="21"/>
                <w:lang w:val="en-GB"/>
              </w:rPr>
            </w:pPr>
            <w:r>
              <w:rPr>
                <w:rFonts w:hint="eastAsia" w:ascii="宋体" w:hAnsi="宋体" w:cs="宋体"/>
                <w:color w:val="000000"/>
              </w:rPr>
              <w:t>（电源线、网线）布线至屏体，含相关线材、管材及人工布线费用</w:t>
            </w:r>
          </w:p>
        </w:tc>
        <w:tc>
          <w:tcPr>
            <w:tcW w:w="780" w:type="dxa"/>
            <w:vAlign w:val="center"/>
          </w:tcPr>
          <w:p>
            <w:pPr>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1批</w:t>
            </w:r>
          </w:p>
        </w:tc>
        <w:tc>
          <w:tcPr>
            <w:tcW w:w="840" w:type="dxa"/>
            <w:vAlign w:val="center"/>
          </w:tcPr>
          <w:p>
            <w:pPr>
              <w:jc w:val="center"/>
              <w:rPr>
                <w:rFonts w:hint="eastAsia" w:eastAsia="宋体"/>
                <w:sz w:val="22"/>
                <w:lang w:eastAsia="zh-CN"/>
              </w:rPr>
            </w:pPr>
          </w:p>
        </w:tc>
        <w:tc>
          <w:tcPr>
            <w:tcW w:w="974" w:type="dxa"/>
            <w:vAlign w:val="center"/>
          </w:tcPr>
          <w:p>
            <w:pPr>
              <w:jc w:val="center"/>
              <w:rPr>
                <w:rFonts w:ascii="华文楷体" w:hAnsi="华文楷体" w:eastAsia="华文楷体"/>
                <w:sz w:val="21"/>
                <w:szCs w:val="21"/>
              </w:rPr>
            </w:pPr>
          </w:p>
        </w:tc>
        <w:tc>
          <w:tcPr>
            <w:tcW w:w="1214" w:type="dxa"/>
            <w:vAlign w:val="center"/>
          </w:tcPr>
          <w:p>
            <w:pPr>
              <w:jc w:val="center"/>
              <w:rPr>
                <w:rFonts w:ascii="华文楷体" w:hAnsi="华文楷体" w:eastAsia="华文楷体"/>
                <w:sz w:val="21"/>
                <w:szCs w:val="21"/>
              </w:rPr>
            </w:pPr>
          </w:p>
        </w:tc>
      </w:tr>
      <w:tr>
        <w:trPr>
          <w:trHeight w:val="680" w:hRule="atLeast"/>
          <w:jc w:val="center"/>
        </w:trPr>
        <w:tc>
          <w:tcPr>
            <w:tcW w:w="600" w:type="dxa"/>
            <w:vAlign w:val="center"/>
          </w:tcPr>
          <w:p>
            <w:pPr>
              <w:pStyle w:val="7"/>
              <w:widowControl w:val="0"/>
              <w:rPr>
                <w:rStyle w:val="11"/>
                <w:rFonts w:ascii="华文楷体" w:hAnsi="华文楷体" w:eastAsia="华文楷体"/>
                <w:sz w:val="21"/>
                <w:szCs w:val="21"/>
              </w:rPr>
            </w:pPr>
            <w:r>
              <w:rPr>
                <w:rStyle w:val="11"/>
                <w:rFonts w:hint="eastAsia" w:ascii="华文楷体" w:hAnsi="华文楷体" w:eastAsia="华文楷体"/>
                <w:sz w:val="21"/>
                <w:szCs w:val="21"/>
              </w:rPr>
              <w:t>合计</w:t>
            </w:r>
          </w:p>
        </w:tc>
        <w:tc>
          <w:tcPr>
            <w:tcW w:w="8519" w:type="dxa"/>
            <w:gridSpan w:val="5"/>
            <w:vAlign w:val="center"/>
          </w:tcPr>
          <w:p>
            <w:pPr>
              <w:rPr>
                <w:rFonts w:ascii="华文楷体" w:hAnsi="华文楷体" w:eastAsia="华文楷体"/>
                <w:sz w:val="21"/>
                <w:szCs w:val="21"/>
              </w:rPr>
            </w:pPr>
            <w:r>
              <w:rPr>
                <w:rFonts w:hint="eastAsia" w:asciiTheme="minorEastAsia" w:hAnsiTheme="minorEastAsia" w:eastAsiaTheme="minorEastAsia"/>
                <w:sz w:val="22"/>
                <w:szCs w:val="22"/>
              </w:rPr>
              <w:t>人民币大写：</w:t>
            </w:r>
            <w:r>
              <w:rPr>
                <w:rFonts w:asciiTheme="minorEastAsia" w:hAnsiTheme="minorEastAsia" w:eastAsiaTheme="minorEastAsia"/>
                <w:sz w:val="22"/>
                <w:szCs w:val="22"/>
              </w:rPr>
              <w:t xml:space="preserve"> </w:t>
            </w:r>
          </w:p>
        </w:tc>
        <w:tc>
          <w:tcPr>
            <w:tcW w:w="1214" w:type="dxa"/>
            <w:vAlign w:val="center"/>
          </w:tcPr>
          <w:p>
            <w:pPr>
              <w:rPr>
                <w:rFonts w:ascii="华文楷体" w:hAnsi="华文楷体" w:eastAsia="华文楷体"/>
                <w:sz w:val="21"/>
                <w:szCs w:val="21"/>
              </w:rPr>
            </w:pPr>
          </w:p>
        </w:tc>
      </w:tr>
      <w:tr>
        <w:trPr>
          <w:trHeight w:val="680" w:hRule="atLeast"/>
          <w:jc w:val="center"/>
        </w:trPr>
        <w:tc>
          <w:tcPr>
            <w:tcW w:w="600" w:type="dxa"/>
            <w:vAlign w:val="center"/>
          </w:tcPr>
          <w:p>
            <w:pPr>
              <w:pStyle w:val="7"/>
              <w:widowControl w:val="0"/>
              <w:rPr>
                <w:rStyle w:val="11"/>
                <w:rFonts w:ascii="华文楷体" w:hAnsi="华文楷体" w:eastAsia="华文楷体"/>
                <w:sz w:val="21"/>
                <w:szCs w:val="21"/>
              </w:rPr>
            </w:pPr>
            <w:r>
              <w:rPr>
                <w:rStyle w:val="11"/>
                <w:rFonts w:hint="eastAsia" w:ascii="华文楷体" w:hAnsi="华文楷体" w:eastAsia="华文楷体"/>
                <w:sz w:val="21"/>
                <w:szCs w:val="21"/>
              </w:rPr>
              <w:t>备注</w:t>
            </w:r>
          </w:p>
        </w:tc>
        <w:tc>
          <w:tcPr>
            <w:tcW w:w="9733" w:type="dxa"/>
            <w:gridSpan w:val="6"/>
            <w:vAlign w:val="center"/>
          </w:tcPr>
          <w:p>
            <w:pPr>
              <w:pStyle w:val="20"/>
              <w:numPr>
                <w:ilvl w:val="0"/>
                <w:numId w:val="2"/>
              </w:numPr>
              <w:ind w:firstLineChars="0"/>
              <w:rPr>
                <w:rFonts w:ascii="Helvetica" w:hAnsi="Helvetica" w:cs="Helvetica"/>
                <w:color w:val="333333"/>
                <w:szCs w:val="21"/>
                <w:shd w:val="clear" w:color="auto" w:fill="FFFFFF"/>
              </w:rPr>
            </w:pPr>
            <w:r>
              <w:rPr>
                <w:rFonts w:hint="eastAsia" w:ascii="Helvetica" w:hAnsi="Helvetica" w:cs="Helvetica"/>
                <w:color w:val="333333"/>
                <w:szCs w:val="21"/>
                <w:shd w:val="clear" w:color="auto" w:fill="FFFFFF"/>
                <w:lang w:val="en-US" w:eastAsia="zh-CN"/>
              </w:rPr>
              <w:t>管理</w:t>
            </w:r>
            <w:r>
              <w:rPr>
                <w:rFonts w:hint="eastAsia" w:ascii="Helvetica" w:hAnsi="Helvetica" w:cs="Helvetica"/>
                <w:color w:val="333333"/>
                <w:szCs w:val="21"/>
                <w:shd w:val="clear" w:color="auto" w:fill="FFFFFF"/>
              </w:rPr>
              <w:t>计算机设备校方自备</w:t>
            </w:r>
            <w:r>
              <w:rPr>
                <w:rFonts w:hint="eastAsia" w:ascii="Helvetica" w:hAnsi="Helvetica" w:cs="Helvetica"/>
                <w:color w:val="333333"/>
                <w:szCs w:val="21"/>
                <w:shd w:val="clear" w:color="auto" w:fill="FFFFFF"/>
                <w:lang w:eastAsia="zh-CN"/>
              </w:rPr>
              <w:t>。</w:t>
            </w:r>
          </w:p>
          <w:p>
            <w:pPr>
              <w:numPr>
                <w:ilvl w:val="0"/>
                <w:numId w:val="2"/>
              </w:numPr>
              <w:spacing w:after="200" w:line="276" w:lineRule="auto"/>
              <w:ind w:left="360" w:leftChars="0" w:hanging="360" w:firstLineChars="0"/>
              <w:contextualSpacing/>
              <w:rPr>
                <w:rFonts w:ascii="Helvetica" w:hAnsi="Helvetica" w:cs="Helvetica"/>
                <w:color w:val="333333"/>
                <w:szCs w:val="21"/>
                <w:shd w:val="clear" w:color="auto" w:fill="FFFFFF"/>
              </w:rPr>
            </w:pPr>
            <w:r>
              <w:rPr>
                <w:rFonts w:ascii="Helvetica" w:hAnsi="Helvetica" w:cs="Helvetica"/>
                <w:color w:val="333333"/>
                <w:szCs w:val="21"/>
                <w:shd w:val="clear" w:color="auto" w:fill="FFFFFF"/>
              </w:rPr>
              <w:t>所投的所有产品质量及安装要达到国家或国际标准。</w:t>
            </w:r>
          </w:p>
          <w:p>
            <w:pPr>
              <w:numPr>
                <w:ilvl w:val="0"/>
                <w:numId w:val="2"/>
              </w:numPr>
              <w:spacing w:after="200" w:line="276" w:lineRule="auto"/>
              <w:ind w:left="360" w:leftChars="0" w:hanging="360" w:firstLineChars="0"/>
              <w:contextualSpacing/>
              <w:rPr>
                <w:rFonts w:hint="default" w:ascii="Helvetica" w:hAnsi="Helvetica" w:cs="Helvetica"/>
                <w:color w:val="333333"/>
                <w:szCs w:val="21"/>
                <w:shd w:val="clear" w:color="auto" w:fill="FFFFFF"/>
                <w:lang w:val="en-US" w:eastAsia="zh-CN"/>
              </w:rPr>
            </w:pPr>
            <w:r>
              <w:rPr>
                <w:rFonts w:hint="eastAsia" w:ascii="Helvetica" w:hAnsi="Helvetica" w:cs="Helvetica"/>
                <w:color w:val="333333"/>
                <w:szCs w:val="21"/>
                <w:shd w:val="clear" w:color="auto" w:fill="FFFFFF"/>
                <w:lang w:val="en-US" w:eastAsia="zh-CN"/>
              </w:rPr>
              <w:t>所投设备类产品用电单位能耗等级为二级及以上。</w:t>
            </w:r>
          </w:p>
          <w:p>
            <w:pPr>
              <w:spacing w:after="200" w:line="276" w:lineRule="auto"/>
              <w:contextualSpacing/>
              <w:rPr>
                <w:rFonts w:ascii="Helvetica" w:hAnsi="Helvetica" w:cs="Helvetica"/>
                <w:color w:val="333333"/>
                <w:szCs w:val="21"/>
                <w:shd w:val="clear" w:color="auto" w:fill="FFFFFF"/>
              </w:rPr>
            </w:pPr>
            <w:r>
              <w:rPr>
                <w:rFonts w:hint="eastAsia" w:ascii="Helvetica" w:hAnsi="Helvetica" w:cs="Helvetica"/>
                <w:color w:val="333333"/>
                <w:szCs w:val="21"/>
                <w:shd w:val="clear" w:color="auto" w:fill="FFFFFF"/>
                <w:lang w:val="en-US" w:eastAsia="zh-CN"/>
              </w:rPr>
              <w:t>4</w:t>
            </w:r>
            <w:r>
              <w:rPr>
                <w:rFonts w:hint="eastAsia" w:ascii="Helvetica" w:hAnsi="Helvetica" w:cs="Helvetica"/>
                <w:color w:val="333333"/>
                <w:szCs w:val="21"/>
                <w:shd w:val="clear" w:color="auto" w:fill="FFFFFF"/>
              </w:rPr>
              <w:t>、</w:t>
            </w:r>
            <w:r>
              <w:rPr>
                <w:rFonts w:ascii="Helvetica" w:hAnsi="Helvetica" w:cs="Helvetica"/>
                <w:color w:val="333333"/>
                <w:szCs w:val="21"/>
                <w:shd w:val="clear" w:color="auto" w:fill="FFFFFF"/>
              </w:rPr>
              <w:t xml:space="preserve">.项目实施过程中产生的垃圾需要及时清运、处理。项目实施、调试完成后，对项目实施过程中涉及的场地、设备等物品及场所，进行保洁和清理后再交付。 </w:t>
            </w:r>
          </w:p>
          <w:p>
            <w:pPr>
              <w:spacing w:after="200" w:line="276" w:lineRule="auto"/>
              <w:contextualSpacing/>
              <w:rPr>
                <w:rFonts w:ascii="Helvetica" w:hAnsi="Helvetica" w:cs="Helvetica"/>
                <w:color w:val="333333"/>
                <w:szCs w:val="21"/>
                <w:shd w:val="clear" w:color="auto" w:fill="FFFFFF"/>
              </w:rPr>
            </w:pPr>
            <w:r>
              <w:rPr>
                <w:rFonts w:hint="eastAsia" w:ascii="Helvetica" w:hAnsi="Helvetica" w:cs="Helvetica"/>
                <w:color w:val="333333"/>
                <w:szCs w:val="21"/>
                <w:shd w:val="clear" w:color="auto" w:fill="FFFFFF"/>
                <w:lang w:val="en-US" w:eastAsia="zh-CN"/>
              </w:rPr>
              <w:t>5</w:t>
            </w:r>
            <w:r>
              <w:rPr>
                <w:rFonts w:hint="eastAsia" w:ascii="Helvetica" w:hAnsi="Helvetica" w:cs="Helvetica"/>
                <w:color w:val="333333"/>
                <w:szCs w:val="21"/>
                <w:shd w:val="clear" w:color="auto" w:fill="FFFFFF"/>
              </w:rPr>
              <w:t>、</w:t>
            </w:r>
            <w:r>
              <w:rPr>
                <w:rFonts w:ascii="Helvetica" w:hAnsi="Helvetica" w:cs="Helvetica"/>
                <w:color w:val="333333"/>
                <w:szCs w:val="21"/>
                <w:shd w:val="clear" w:color="auto" w:fill="FFFFFF"/>
              </w:rPr>
              <w:t>本次</w:t>
            </w:r>
            <w:r>
              <w:rPr>
                <w:rFonts w:hint="eastAsia" w:ascii="Helvetica" w:hAnsi="Helvetica" w:cs="Helvetica"/>
                <w:color w:val="333333"/>
                <w:szCs w:val="21"/>
                <w:shd w:val="clear" w:color="auto" w:fill="FFFFFF"/>
              </w:rPr>
              <w:t>采购</w:t>
            </w:r>
            <w:r>
              <w:rPr>
                <w:rFonts w:ascii="Helvetica" w:hAnsi="Helvetica" w:cs="Helvetica"/>
                <w:color w:val="333333"/>
                <w:szCs w:val="21"/>
                <w:shd w:val="clear" w:color="auto" w:fill="FFFFFF"/>
              </w:rPr>
              <w:t xml:space="preserve">LED产品原厂质保五年。 </w:t>
            </w:r>
          </w:p>
          <w:p>
            <w:pPr>
              <w:spacing w:after="200" w:line="276" w:lineRule="auto"/>
              <w:contextualSpacing/>
              <w:rPr>
                <w:rFonts w:ascii="Helvetica" w:hAnsi="Helvetica" w:cs="Helvetica"/>
                <w:color w:val="333333"/>
                <w:szCs w:val="21"/>
                <w:shd w:val="clear" w:color="auto" w:fill="FFFFFF"/>
              </w:rPr>
            </w:pPr>
            <w:r>
              <w:rPr>
                <w:rFonts w:hint="eastAsia" w:ascii="Helvetica" w:hAnsi="Helvetica" w:cs="Helvetica"/>
                <w:color w:val="333333"/>
                <w:szCs w:val="21"/>
                <w:shd w:val="clear" w:color="auto" w:fill="FFFFFF"/>
                <w:lang w:val="en-US" w:eastAsia="zh-CN"/>
              </w:rPr>
              <w:t>6</w:t>
            </w:r>
            <w:r>
              <w:rPr>
                <w:rFonts w:hint="eastAsia" w:ascii="Helvetica" w:hAnsi="Helvetica" w:cs="Helvetica"/>
                <w:color w:val="333333"/>
                <w:szCs w:val="21"/>
                <w:shd w:val="clear" w:color="auto" w:fill="FFFFFF"/>
              </w:rPr>
              <w:t>、</w:t>
            </w:r>
            <w:r>
              <w:rPr>
                <w:rFonts w:ascii="Helvetica" w:hAnsi="Helvetica" w:cs="Helvetica"/>
                <w:color w:val="333333"/>
                <w:szCs w:val="21"/>
                <w:shd w:val="clear" w:color="auto" w:fill="FFFFFF"/>
              </w:rPr>
              <w:t>本项目报价为一次性包干，不再做调整，报价供应商在报价前需自行至业主单位现场勘查（费用自理），否则存在的风险由</w:t>
            </w:r>
            <w:r>
              <w:rPr>
                <w:rFonts w:hint="eastAsia" w:ascii="Helvetica" w:hAnsi="Helvetica" w:cs="Helvetica"/>
                <w:color w:val="333333"/>
                <w:szCs w:val="21"/>
                <w:shd w:val="clear" w:color="auto" w:fill="FFFFFF"/>
              </w:rPr>
              <w:t>供</w:t>
            </w:r>
            <w:r>
              <w:rPr>
                <w:rFonts w:ascii="Helvetica" w:hAnsi="Helvetica" w:cs="Helvetica"/>
                <w:color w:val="333333"/>
                <w:szCs w:val="21"/>
                <w:shd w:val="clear" w:color="auto" w:fill="FFFFFF"/>
              </w:rPr>
              <w:t xml:space="preserve">方自行承担。 </w:t>
            </w:r>
          </w:p>
          <w:p>
            <w:pPr>
              <w:spacing w:after="200" w:line="276" w:lineRule="auto"/>
              <w:contextualSpacing/>
              <w:rPr>
                <w:rFonts w:ascii="Helvetica" w:hAnsi="Helvetica" w:cs="Helvetica"/>
                <w:color w:val="333333"/>
                <w:szCs w:val="21"/>
                <w:shd w:val="clear" w:color="auto" w:fill="FFFFFF"/>
              </w:rPr>
            </w:pPr>
            <w:r>
              <w:rPr>
                <w:rFonts w:hint="eastAsia" w:ascii="Helvetica" w:hAnsi="Helvetica" w:cs="Helvetica"/>
                <w:color w:val="333333"/>
                <w:szCs w:val="21"/>
                <w:shd w:val="clear" w:color="auto" w:fill="FFFFFF"/>
                <w:lang w:val="en-US" w:eastAsia="zh-CN"/>
              </w:rPr>
              <w:t>7</w:t>
            </w:r>
            <w:r>
              <w:rPr>
                <w:rFonts w:hint="eastAsia" w:ascii="Helvetica" w:hAnsi="Helvetica" w:cs="Helvetica"/>
                <w:color w:val="333333"/>
                <w:szCs w:val="21"/>
                <w:shd w:val="clear" w:color="auto" w:fill="FFFFFF"/>
              </w:rPr>
              <w:t>、</w:t>
            </w:r>
            <w:r>
              <w:rPr>
                <w:rFonts w:ascii="Helvetica" w:hAnsi="Helvetica" w:cs="Helvetica"/>
                <w:color w:val="333333"/>
                <w:szCs w:val="21"/>
                <w:shd w:val="clear" w:color="auto" w:fill="FFFFFF"/>
              </w:rPr>
              <w:t>所投产品必须满足</w:t>
            </w:r>
            <w:r>
              <w:rPr>
                <w:rFonts w:hint="eastAsia" w:ascii="Helvetica" w:hAnsi="Helvetica" w:cs="Helvetica"/>
                <w:color w:val="333333"/>
                <w:szCs w:val="21"/>
                <w:shd w:val="clear" w:color="auto" w:fill="FFFFFF"/>
              </w:rPr>
              <w:t>参数</w:t>
            </w:r>
            <w:r>
              <w:rPr>
                <w:rFonts w:ascii="Helvetica" w:hAnsi="Helvetica" w:cs="Helvetica"/>
                <w:color w:val="333333"/>
                <w:szCs w:val="21"/>
                <w:shd w:val="clear" w:color="auto" w:fill="FFFFFF"/>
              </w:rPr>
              <w:t>的要求，带</w:t>
            </w:r>
            <w:r>
              <w:rPr>
                <w:rFonts w:ascii="Segoe UI Symbol" w:hAnsi="Segoe UI Symbol" w:cs="Segoe UI Symbol"/>
                <w:color w:val="333333"/>
                <w:szCs w:val="21"/>
                <w:shd w:val="clear" w:color="auto" w:fill="FFFFFF"/>
              </w:rPr>
              <w:t>★</w:t>
            </w:r>
            <w:r>
              <w:rPr>
                <w:rFonts w:ascii="Helvetica" w:hAnsi="Helvetica" w:cs="Helvetica"/>
                <w:color w:val="333333"/>
                <w:szCs w:val="21"/>
                <w:shd w:val="clear" w:color="auto" w:fill="FFFFFF"/>
              </w:rPr>
              <w:t>号为重要指标参数不允许做偏离，中标后五个工作日内必须提供</w:t>
            </w:r>
            <w:r>
              <w:rPr>
                <w:rFonts w:hint="eastAsia" w:ascii="Helvetica" w:hAnsi="Helvetica" w:cs="Helvetica"/>
                <w:color w:val="333333"/>
                <w:szCs w:val="21"/>
                <w:shd w:val="clear" w:color="auto" w:fill="FFFFFF"/>
                <w:lang w:val="en-US" w:eastAsia="zh-CN"/>
              </w:rPr>
              <w:t>授权书和原厂质保函。</w:t>
            </w:r>
            <w:r>
              <w:rPr>
                <w:rFonts w:ascii="Helvetica" w:hAnsi="Helvetica" w:cs="Helvetica"/>
                <w:color w:val="333333"/>
                <w:szCs w:val="21"/>
                <w:shd w:val="clear" w:color="auto" w:fill="FFFFFF"/>
              </w:rPr>
              <w:t>否则做无效</w:t>
            </w:r>
            <w:r>
              <w:rPr>
                <w:rFonts w:hint="eastAsia" w:ascii="Helvetica" w:hAnsi="Helvetica" w:cs="Helvetica"/>
                <w:color w:val="333333"/>
                <w:szCs w:val="21"/>
                <w:shd w:val="clear" w:color="auto" w:fill="FFFFFF"/>
              </w:rPr>
              <w:t>报价</w:t>
            </w:r>
            <w:r>
              <w:rPr>
                <w:rFonts w:ascii="Helvetica" w:hAnsi="Helvetica" w:cs="Helvetica"/>
                <w:color w:val="333333"/>
                <w:szCs w:val="21"/>
                <w:shd w:val="clear" w:color="auto" w:fill="FFFFFF"/>
              </w:rPr>
              <w:t>处理，对于提供虚假参数强行</w:t>
            </w:r>
            <w:r>
              <w:rPr>
                <w:rFonts w:hint="eastAsia" w:ascii="Helvetica" w:hAnsi="Helvetica" w:cs="Helvetica"/>
                <w:color w:val="333333"/>
                <w:szCs w:val="21"/>
                <w:shd w:val="clear" w:color="auto" w:fill="FFFFFF"/>
              </w:rPr>
              <w:t>成交</w:t>
            </w:r>
            <w:r>
              <w:rPr>
                <w:rFonts w:ascii="Helvetica" w:hAnsi="Helvetica" w:cs="Helvetica"/>
                <w:color w:val="333333"/>
                <w:szCs w:val="21"/>
                <w:shd w:val="clear" w:color="auto" w:fill="FFFFFF"/>
              </w:rPr>
              <w:t>的供应商，经测试查实后将以废标处理并上报上级部门。</w:t>
            </w:r>
          </w:p>
          <w:p>
            <w:pPr>
              <w:spacing w:after="200" w:line="276" w:lineRule="auto"/>
              <w:contextualSpacing/>
              <w:rPr>
                <w:rFonts w:ascii="Helvetica" w:hAnsi="Helvetica" w:cs="Helvetica"/>
                <w:color w:val="333333"/>
                <w:szCs w:val="21"/>
                <w:shd w:val="clear" w:color="auto" w:fill="FFFFFF"/>
              </w:rPr>
            </w:pPr>
            <w:r>
              <w:rPr>
                <w:rFonts w:hint="eastAsia" w:ascii="Helvetica" w:hAnsi="Helvetica" w:cs="Helvetica"/>
                <w:color w:val="333333"/>
                <w:szCs w:val="21"/>
                <w:shd w:val="clear" w:color="auto" w:fill="FFFFFF"/>
                <w:lang w:val="en-US" w:eastAsia="zh-CN"/>
              </w:rPr>
              <w:t>8</w:t>
            </w:r>
            <w:r>
              <w:rPr>
                <w:rFonts w:hint="eastAsia" w:ascii="Helvetica" w:hAnsi="Helvetica" w:cs="Helvetica"/>
                <w:color w:val="333333"/>
                <w:szCs w:val="21"/>
                <w:shd w:val="clear" w:color="auto" w:fill="FFFFFF"/>
              </w:rPr>
              <w:t>、</w:t>
            </w:r>
            <w:r>
              <w:rPr>
                <w:rFonts w:ascii="Helvetica" w:hAnsi="Helvetica" w:cs="Helvetica"/>
                <w:color w:val="333333"/>
                <w:szCs w:val="21"/>
                <w:shd w:val="clear" w:color="auto" w:fill="FFFFFF"/>
              </w:rPr>
              <w:t>以上技术参数及要求是</w:t>
            </w:r>
            <w:r>
              <w:rPr>
                <w:rFonts w:hint="eastAsia" w:ascii="Helvetica" w:hAnsi="Helvetica" w:cs="Helvetica"/>
                <w:color w:val="333333"/>
                <w:szCs w:val="21"/>
                <w:shd w:val="clear" w:color="auto" w:fill="FFFFFF"/>
              </w:rPr>
              <w:t>采购人</w:t>
            </w:r>
            <w:r>
              <w:rPr>
                <w:rFonts w:ascii="Helvetica" w:hAnsi="Helvetica" w:cs="Helvetica"/>
                <w:color w:val="333333"/>
                <w:szCs w:val="21"/>
                <w:shd w:val="clear" w:color="auto" w:fill="FFFFFF"/>
              </w:rPr>
              <w:t>提出的货物技术说明，如</w:t>
            </w:r>
            <w:r>
              <w:rPr>
                <w:rFonts w:hint="eastAsia" w:ascii="Helvetica" w:hAnsi="Helvetica" w:cs="Helvetica"/>
                <w:color w:val="333333"/>
                <w:szCs w:val="21"/>
                <w:shd w:val="clear" w:color="auto" w:fill="FFFFFF"/>
              </w:rPr>
              <w:t>采价表</w:t>
            </w:r>
            <w:r>
              <w:rPr>
                <w:rFonts w:ascii="Helvetica" w:hAnsi="Helvetica" w:cs="Helvetica"/>
                <w:color w:val="333333"/>
                <w:szCs w:val="21"/>
                <w:shd w:val="clear" w:color="auto" w:fill="FFFFFF"/>
              </w:rPr>
              <w:t>中遗漏了完工必须具备的设备、配件辅料或服务，请</w:t>
            </w:r>
            <w:r>
              <w:rPr>
                <w:rFonts w:hint="eastAsia" w:ascii="Helvetica" w:hAnsi="Helvetica" w:cs="Helvetica"/>
                <w:color w:val="333333"/>
                <w:szCs w:val="21"/>
                <w:shd w:val="clear" w:color="auto" w:fill="FFFFFF"/>
              </w:rPr>
              <w:t>报价人</w:t>
            </w:r>
            <w:r>
              <w:rPr>
                <w:rFonts w:ascii="Helvetica" w:hAnsi="Helvetica" w:cs="Helvetica"/>
                <w:color w:val="333333"/>
                <w:szCs w:val="21"/>
                <w:shd w:val="clear" w:color="auto" w:fill="FFFFFF"/>
              </w:rPr>
              <w:t>在</w:t>
            </w:r>
            <w:r>
              <w:rPr>
                <w:rFonts w:hint="eastAsia" w:ascii="Helvetica" w:hAnsi="Helvetica" w:cs="Helvetica"/>
                <w:color w:val="333333"/>
                <w:szCs w:val="21"/>
                <w:shd w:val="clear" w:color="auto" w:fill="FFFFFF"/>
              </w:rPr>
              <w:t>采价表</w:t>
            </w:r>
            <w:r>
              <w:rPr>
                <w:rFonts w:ascii="Helvetica" w:hAnsi="Helvetica" w:cs="Helvetica"/>
                <w:color w:val="333333"/>
                <w:szCs w:val="21"/>
                <w:shd w:val="clear" w:color="auto" w:fill="FFFFFF"/>
              </w:rPr>
              <w:t>中明确指出，并提出解决方案供</w:t>
            </w:r>
            <w:r>
              <w:rPr>
                <w:rFonts w:hint="eastAsia" w:ascii="Helvetica" w:hAnsi="Helvetica" w:cs="Helvetica"/>
                <w:color w:val="333333"/>
                <w:szCs w:val="21"/>
                <w:shd w:val="clear" w:color="auto" w:fill="FFFFFF"/>
              </w:rPr>
              <w:t>采购</w:t>
            </w:r>
            <w:r>
              <w:rPr>
                <w:rFonts w:ascii="Helvetica" w:hAnsi="Helvetica" w:cs="Helvetica"/>
                <w:color w:val="333333"/>
                <w:szCs w:val="21"/>
                <w:shd w:val="clear" w:color="auto" w:fill="FFFFFF"/>
              </w:rPr>
              <w:t>人参考；</w:t>
            </w:r>
            <w:r>
              <w:rPr>
                <w:rFonts w:hint="eastAsia" w:ascii="Helvetica" w:hAnsi="Helvetica" w:cs="Helvetica"/>
                <w:color w:val="333333"/>
                <w:szCs w:val="21"/>
                <w:shd w:val="clear" w:color="auto" w:fill="FFFFFF"/>
              </w:rPr>
              <w:t>供方</w:t>
            </w:r>
            <w:r>
              <w:rPr>
                <w:rFonts w:ascii="Helvetica" w:hAnsi="Helvetica" w:cs="Helvetica"/>
                <w:color w:val="333333"/>
                <w:szCs w:val="21"/>
                <w:shd w:val="clear" w:color="auto" w:fill="FFFFFF"/>
              </w:rPr>
              <w:t>有义务保证</w:t>
            </w:r>
            <w:r>
              <w:rPr>
                <w:rFonts w:hint="eastAsia" w:ascii="Helvetica" w:hAnsi="Helvetica" w:cs="Helvetica"/>
                <w:color w:val="333333"/>
                <w:szCs w:val="21"/>
                <w:shd w:val="clear" w:color="auto" w:fill="FFFFFF"/>
              </w:rPr>
              <w:t>采购</w:t>
            </w:r>
            <w:r>
              <w:rPr>
                <w:rFonts w:ascii="Helvetica" w:hAnsi="Helvetica" w:cs="Helvetica"/>
                <w:color w:val="333333"/>
                <w:szCs w:val="21"/>
                <w:shd w:val="clear" w:color="auto" w:fill="FFFFFF"/>
              </w:rPr>
              <w:t>人该项目的完整性，如项目实施过程中因缺少设备、配件辅料或服务导致无法满足</w:t>
            </w:r>
            <w:r>
              <w:rPr>
                <w:rFonts w:hint="eastAsia" w:ascii="Helvetica" w:hAnsi="Helvetica" w:cs="Helvetica"/>
                <w:color w:val="333333"/>
                <w:szCs w:val="21"/>
                <w:shd w:val="clear" w:color="auto" w:fill="FFFFFF"/>
              </w:rPr>
              <w:t>采购</w:t>
            </w:r>
            <w:r>
              <w:rPr>
                <w:rFonts w:ascii="Helvetica" w:hAnsi="Helvetica" w:cs="Helvetica"/>
                <w:color w:val="333333"/>
                <w:szCs w:val="21"/>
                <w:shd w:val="clear" w:color="auto" w:fill="FFFFFF"/>
              </w:rPr>
              <w:t>人正常需求，</w:t>
            </w:r>
            <w:r>
              <w:rPr>
                <w:rFonts w:hint="eastAsia" w:ascii="Helvetica" w:hAnsi="Helvetica" w:cs="Helvetica"/>
                <w:color w:val="333333"/>
                <w:szCs w:val="21"/>
                <w:shd w:val="clear" w:color="auto" w:fill="FFFFFF"/>
              </w:rPr>
              <w:t>供方</w:t>
            </w:r>
            <w:r>
              <w:rPr>
                <w:rFonts w:ascii="Helvetica" w:hAnsi="Helvetica" w:cs="Helvetica"/>
                <w:color w:val="333333"/>
                <w:szCs w:val="21"/>
                <w:shd w:val="clear" w:color="auto" w:fill="FFFFFF"/>
              </w:rPr>
              <w:t>须免费提供。</w:t>
            </w:r>
          </w:p>
          <w:p>
            <w:pPr>
              <w:rPr>
                <w:rFonts w:hint="eastAsia" w:ascii="Helvetica" w:hAnsi="Helvetica" w:cs="Helvetica"/>
                <w:color w:val="333333"/>
                <w:szCs w:val="21"/>
                <w:shd w:val="clear" w:color="auto" w:fill="FFFFFF"/>
                <w:lang w:eastAsia="zh-CN"/>
              </w:rPr>
            </w:pPr>
            <w:r>
              <w:rPr>
                <w:rFonts w:hint="eastAsia" w:ascii="Helvetica" w:hAnsi="Helvetica" w:cs="Helvetica"/>
                <w:color w:val="333333"/>
                <w:szCs w:val="21"/>
                <w:shd w:val="clear" w:color="auto" w:fill="FFFFFF"/>
                <w:lang w:val="en-US" w:eastAsia="zh-CN"/>
              </w:rPr>
              <w:t>9</w:t>
            </w:r>
            <w:r>
              <w:rPr>
                <w:rFonts w:hint="eastAsia" w:ascii="Helvetica" w:hAnsi="Helvetica" w:cs="Helvetica"/>
                <w:color w:val="333333"/>
                <w:szCs w:val="21"/>
                <w:shd w:val="clear" w:color="auto" w:fill="FFFFFF"/>
              </w:rPr>
              <w:t>、</w:t>
            </w:r>
            <w:r>
              <w:rPr>
                <w:rFonts w:ascii="Helvetica" w:hAnsi="Helvetica" w:cs="Helvetica"/>
                <w:b/>
                <w:bCs/>
                <w:color w:val="333333"/>
                <w:szCs w:val="21"/>
                <w:shd w:val="clear" w:color="auto" w:fill="FFFFFF"/>
              </w:rPr>
              <w:t>报价的产品品牌只在要求的推荐品牌范围内</w:t>
            </w:r>
            <w:r>
              <w:rPr>
                <w:rFonts w:hint="eastAsia" w:ascii="Helvetica" w:hAnsi="Helvetica" w:cs="Helvetica"/>
                <w:b/>
                <w:bCs/>
                <w:color w:val="333333"/>
                <w:szCs w:val="21"/>
                <w:shd w:val="clear" w:color="auto" w:fill="FFFFFF"/>
                <w:lang w:val="en-US" w:eastAsia="zh-CN"/>
              </w:rPr>
              <w:t>三</w:t>
            </w:r>
            <w:r>
              <w:rPr>
                <w:rFonts w:ascii="Helvetica" w:hAnsi="Helvetica" w:cs="Helvetica"/>
                <w:b/>
                <w:bCs/>
                <w:color w:val="333333"/>
                <w:szCs w:val="21"/>
                <w:shd w:val="clear" w:color="auto" w:fill="FFFFFF"/>
              </w:rPr>
              <w:t>选一，本次</w:t>
            </w:r>
            <w:r>
              <w:rPr>
                <w:rFonts w:hint="eastAsia" w:ascii="Helvetica" w:hAnsi="Helvetica" w:cs="Helvetica"/>
                <w:b/>
                <w:bCs/>
                <w:color w:val="333333"/>
                <w:szCs w:val="21"/>
                <w:shd w:val="clear" w:color="auto" w:fill="FFFFFF"/>
              </w:rPr>
              <w:t>公开采价</w:t>
            </w:r>
            <w:r>
              <w:rPr>
                <w:rFonts w:ascii="Helvetica" w:hAnsi="Helvetica" w:cs="Helvetica"/>
                <w:b/>
                <w:bCs/>
                <w:color w:val="333333"/>
                <w:szCs w:val="21"/>
                <w:shd w:val="clear" w:color="auto" w:fill="FFFFFF"/>
              </w:rPr>
              <w:t>不接受推荐品牌范围外的品牌的报价</w:t>
            </w:r>
            <w:r>
              <w:rPr>
                <w:rFonts w:hint="eastAsia" w:ascii="Helvetica" w:hAnsi="Helvetica" w:cs="Helvetica"/>
                <w:color w:val="333333"/>
                <w:szCs w:val="21"/>
                <w:shd w:val="clear" w:color="auto" w:fill="FFFFFF"/>
                <w:lang w:eastAsia="zh-CN"/>
              </w:rPr>
              <w:t>。</w:t>
            </w:r>
          </w:p>
          <w:p>
            <w:pPr>
              <w:rPr>
                <w:rFonts w:hint="default" w:ascii="Helvetica" w:hAnsi="Helvetica" w:cs="Helvetica"/>
                <w:color w:val="333333"/>
                <w:szCs w:val="21"/>
                <w:shd w:val="clear" w:color="auto" w:fill="FFFFFF"/>
                <w:lang w:val="en-US" w:eastAsia="zh-CN"/>
              </w:rPr>
            </w:pPr>
            <w:r>
              <w:rPr>
                <w:rFonts w:hint="eastAsia" w:ascii="Helvetica" w:hAnsi="Helvetica" w:cs="Helvetica"/>
                <w:color w:val="333333"/>
                <w:szCs w:val="21"/>
                <w:shd w:val="clear" w:color="auto" w:fill="FFFFFF"/>
                <w:lang w:val="en-US" w:eastAsia="zh-CN"/>
              </w:rPr>
              <w:t>10、以上报价含税费、运费。</w:t>
            </w:r>
          </w:p>
        </w:tc>
      </w:tr>
    </w:tbl>
    <w:p>
      <w:pPr>
        <w:pStyle w:val="7"/>
        <w:spacing w:before="0" w:beforeAutospacing="0" w:after="0" w:afterAutospacing="0"/>
        <w:ind w:firstLine="357"/>
        <w:rPr>
          <w:rFonts w:ascii="华文楷体" w:hAnsi="华文楷体" w:eastAsia="华文楷体"/>
          <w:sz w:val="21"/>
          <w:szCs w:val="21"/>
        </w:rPr>
      </w:pPr>
    </w:p>
    <w:p>
      <w:pPr>
        <w:pStyle w:val="7"/>
        <w:spacing w:before="0" w:beforeAutospacing="0" w:after="0" w:afterAutospacing="0"/>
        <w:ind w:firstLine="357"/>
        <w:rPr>
          <w:rFonts w:ascii="华文楷体" w:hAnsi="华文楷体" w:eastAsia="华文楷体"/>
          <w:sz w:val="21"/>
          <w:szCs w:val="21"/>
        </w:rPr>
      </w:pPr>
    </w:p>
    <w:p>
      <w:pPr>
        <w:pStyle w:val="7"/>
        <w:spacing w:before="0" w:beforeAutospacing="0" w:after="0" w:afterAutospacing="0"/>
        <w:ind w:firstLine="357"/>
        <w:rPr>
          <w:rFonts w:ascii="华文楷体" w:hAnsi="华文楷体" w:eastAsia="华文楷体"/>
          <w:sz w:val="21"/>
          <w:szCs w:val="21"/>
        </w:rPr>
      </w:pPr>
    </w:p>
    <w:p>
      <w:pPr>
        <w:pStyle w:val="7"/>
        <w:spacing w:before="0" w:beforeAutospacing="0" w:after="0" w:afterAutospacing="0"/>
        <w:ind w:firstLine="357"/>
        <w:rPr>
          <w:rFonts w:ascii="华文楷体" w:hAnsi="华文楷体" w:eastAsia="华文楷体"/>
          <w:sz w:val="21"/>
          <w:szCs w:val="21"/>
        </w:rPr>
      </w:pPr>
      <w:r>
        <w:rPr>
          <w:rFonts w:hint="eastAsia" w:ascii="华文楷体" w:hAnsi="华文楷体" w:eastAsia="华文楷体"/>
          <w:sz w:val="21"/>
          <w:szCs w:val="21"/>
        </w:rPr>
        <w:t>报价单位（盖章）：</w:t>
      </w:r>
      <w:r>
        <w:rPr>
          <w:rFonts w:ascii="华文楷体" w:hAnsi="华文楷体" w:eastAsia="华文楷体"/>
          <w:sz w:val="21"/>
          <w:szCs w:val="21"/>
        </w:rPr>
        <w:t xml:space="preserve"> </w:t>
      </w:r>
    </w:p>
    <w:p>
      <w:pPr>
        <w:pStyle w:val="7"/>
        <w:spacing w:before="0" w:beforeAutospacing="0" w:after="0" w:afterAutospacing="0"/>
        <w:ind w:firstLine="357"/>
        <w:rPr>
          <w:rFonts w:ascii="华文楷体" w:hAnsi="华文楷体" w:eastAsia="华文楷体"/>
          <w:sz w:val="21"/>
          <w:szCs w:val="21"/>
        </w:rPr>
      </w:pPr>
    </w:p>
    <w:p>
      <w:pPr>
        <w:pStyle w:val="7"/>
        <w:spacing w:before="0" w:beforeAutospacing="0" w:after="0" w:afterAutospacing="0"/>
        <w:ind w:firstLine="357"/>
      </w:pPr>
    </w:p>
    <w:p>
      <w:pPr>
        <w:pStyle w:val="7"/>
        <w:spacing w:before="0" w:beforeAutospacing="0" w:after="0" w:afterAutospacing="0"/>
        <w:ind w:firstLine="357"/>
      </w:pPr>
    </w:p>
    <w:p>
      <w:pPr>
        <w:pStyle w:val="7"/>
        <w:spacing w:before="0" w:beforeAutospacing="0" w:after="0" w:afterAutospacing="0"/>
        <w:ind w:firstLine="357"/>
      </w:pPr>
    </w:p>
    <w:p>
      <w:pPr>
        <w:pStyle w:val="7"/>
        <w:spacing w:before="0" w:beforeAutospacing="0" w:after="0" w:afterAutospacing="0"/>
        <w:ind w:firstLine="357"/>
      </w:pPr>
    </w:p>
    <w:p>
      <w:pPr>
        <w:pStyle w:val="7"/>
        <w:spacing w:before="0" w:beforeAutospacing="0" w:after="0" w:afterAutospacing="0"/>
        <w:ind w:firstLine="357"/>
      </w:pPr>
    </w:p>
    <w:p>
      <w:pPr>
        <w:pStyle w:val="7"/>
        <w:spacing w:before="0" w:beforeAutospacing="0" w:after="0" w:afterAutospacing="0"/>
        <w:ind w:firstLine="357"/>
      </w:pPr>
    </w:p>
    <w:p>
      <w:pPr>
        <w:pStyle w:val="7"/>
        <w:spacing w:before="0" w:beforeAutospacing="0" w:after="0" w:afterAutospacing="0"/>
        <w:ind w:firstLine="357"/>
      </w:pPr>
    </w:p>
    <w:p>
      <w:pPr>
        <w:pStyle w:val="7"/>
        <w:spacing w:before="0" w:beforeAutospacing="0" w:after="0" w:afterAutospacing="0"/>
        <w:ind w:firstLine="357"/>
      </w:pPr>
    </w:p>
    <w:p>
      <w:pPr>
        <w:pStyle w:val="7"/>
        <w:spacing w:before="0" w:beforeAutospacing="0" w:after="0" w:afterAutospacing="0"/>
        <w:ind w:firstLine="357"/>
      </w:pPr>
    </w:p>
    <w:p>
      <w:pPr>
        <w:pStyle w:val="7"/>
        <w:spacing w:before="0" w:beforeAutospacing="0" w:after="0" w:afterAutospacing="0"/>
        <w:ind w:firstLine="357"/>
      </w:pPr>
    </w:p>
    <w:p>
      <w:pPr>
        <w:pStyle w:val="7"/>
        <w:spacing w:before="0" w:beforeAutospacing="0" w:after="0" w:afterAutospacing="0"/>
        <w:ind w:firstLine="357"/>
      </w:pPr>
    </w:p>
    <w:p>
      <w:pPr>
        <w:pStyle w:val="7"/>
        <w:spacing w:before="0" w:beforeAutospacing="0" w:after="0" w:afterAutospacing="0"/>
        <w:ind w:firstLine="357"/>
      </w:pPr>
    </w:p>
    <w:p>
      <w:pPr>
        <w:pStyle w:val="7"/>
        <w:spacing w:before="0" w:beforeAutospacing="0" w:after="0" w:afterAutospacing="0"/>
        <w:ind w:firstLine="357"/>
        <w:rPr>
          <w:rFonts w:hint="eastAsia"/>
        </w:rPr>
        <w:sectPr>
          <w:pgSz w:w="11906" w:h="16838"/>
          <w:pgMar w:top="1247" w:right="1247" w:bottom="1247" w:left="1247" w:header="851" w:footer="992" w:gutter="0"/>
          <w:cols w:space="425" w:num="1"/>
          <w:docGrid w:type="lines" w:linePitch="312" w:charSpace="0"/>
        </w:sectPr>
      </w:pPr>
      <w:bookmarkStart w:id="0" w:name="_GoBack"/>
      <w:bookmarkEnd w:id="0"/>
    </w:p>
    <w:p>
      <w:pPr>
        <w:pStyle w:val="7"/>
        <w:spacing w:before="0" w:beforeAutospacing="0" w:after="0" w:afterAutospacing="0"/>
      </w:pPr>
      <w:r>
        <w:rPr>
          <w:rFonts w:hint="eastAsia"/>
        </w:rPr>
        <w:t>密封报价封条横版如下：</w:t>
      </w:r>
    </w:p>
    <w:p>
      <w:pPr>
        <w:pStyle w:val="7"/>
        <w:spacing w:before="0" w:beforeAutospacing="0" w:after="0" w:afterAutospacing="0"/>
        <w:ind w:firstLine="357"/>
      </w:pPr>
    </w:p>
    <w:tbl>
      <w:tblPr>
        <w:tblStyle w:val="21"/>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84" w:type="dxa"/>
          </w:tcPr>
          <w:p>
            <w:pPr>
              <w:spacing w:after="160" w:line="259" w:lineRule="auto"/>
              <w:ind w:firstLine="721" w:firstLineChars="100"/>
              <w:rPr>
                <w:rFonts w:ascii="华文楷体" w:hAnsi="华文楷体" w:eastAsia="华文楷体" w:cs="宋体"/>
                <w:b/>
                <w:bCs/>
                <w:sz w:val="72"/>
                <w:szCs w:val="72"/>
              </w:rPr>
            </w:pPr>
            <w:r>
              <w:rPr>
                <w:rFonts w:hint="eastAsia" w:ascii="华文楷体" w:hAnsi="华文楷体" w:eastAsia="华文楷体" w:cs="宋体"/>
                <w:b/>
                <w:bCs/>
                <w:sz w:val="72"/>
                <w:szCs w:val="72"/>
              </w:rPr>
              <w:t xml:space="preserve">封条 </w:t>
            </w:r>
            <w:r>
              <w:rPr>
                <w:rFonts w:ascii="华文楷体" w:hAnsi="华文楷体" w:eastAsia="华文楷体" w:cs="宋体"/>
                <w:b/>
                <w:bCs/>
                <w:sz w:val="72"/>
                <w:szCs w:val="72"/>
              </w:rPr>
              <w:t xml:space="preserve">  </w:t>
            </w:r>
            <w:r>
              <w:rPr>
                <w:rFonts w:hint="eastAsia" w:ascii="华文楷体" w:hAnsi="华文楷体" w:eastAsia="华文楷体" w:cs="宋体"/>
                <w:b/>
                <w:bCs/>
                <w:sz w:val="72"/>
                <w:szCs w:val="72"/>
              </w:rPr>
              <w:t xml:space="preserve">封条 </w:t>
            </w:r>
            <w:r>
              <w:rPr>
                <w:rFonts w:ascii="华文楷体" w:hAnsi="华文楷体" w:eastAsia="华文楷体" w:cs="宋体"/>
                <w:b/>
                <w:bCs/>
                <w:sz w:val="72"/>
                <w:szCs w:val="72"/>
              </w:rPr>
              <w:t xml:space="preserve">  </w:t>
            </w:r>
            <w:r>
              <w:rPr>
                <w:rFonts w:hint="eastAsia" w:ascii="华文楷体" w:hAnsi="华文楷体" w:eastAsia="华文楷体" w:cs="宋体"/>
                <w:b/>
                <w:bCs/>
                <w:sz w:val="72"/>
                <w:szCs w:val="72"/>
              </w:rPr>
              <w:t>封条</w:t>
            </w:r>
          </w:p>
          <w:p>
            <w:pPr>
              <w:spacing w:after="160" w:line="259" w:lineRule="auto"/>
              <w:rPr>
                <w:rFonts w:ascii="华文楷体" w:hAnsi="华文楷体" w:eastAsia="华文楷体" w:cs="宋体"/>
                <w:b/>
                <w:bCs/>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84" w:type="dxa"/>
          </w:tcPr>
          <w:p>
            <w:pPr>
              <w:spacing w:after="160" w:line="259" w:lineRule="auto"/>
              <w:ind w:firstLine="357"/>
              <w:rPr>
                <w:rFonts w:hint="eastAsia"/>
                <w:sz w:val="24"/>
                <w:szCs w:val="24"/>
              </w:rPr>
            </w:pPr>
            <w:r>
              <w:rPr>
                <w:rFonts w:hint="eastAsia" w:ascii="华文楷体" w:hAnsi="华文楷体" w:eastAsia="华文楷体" w:cs="宋体"/>
                <w:b/>
                <w:bCs/>
                <w:sz w:val="28"/>
                <w:szCs w:val="28"/>
              </w:rPr>
              <w:t>项目名称：</w:t>
            </w:r>
            <w:r>
              <w:rPr>
                <w:rFonts w:hint="eastAsia"/>
                <w:sz w:val="24"/>
                <w:szCs w:val="24"/>
                <w:lang w:val="en-US" w:eastAsia="zh-CN"/>
              </w:rPr>
              <w:t>劳模工匠馆LED显示屏</w:t>
            </w:r>
          </w:p>
          <w:p>
            <w:pPr>
              <w:spacing w:after="160" w:line="259" w:lineRule="auto"/>
              <w:ind w:firstLine="357"/>
              <w:rPr>
                <w:rFonts w:ascii="华文楷体" w:hAnsi="华文楷体" w:eastAsia="华文楷体"/>
                <w:b/>
                <w:bCs/>
                <w:sz w:val="28"/>
                <w:szCs w:val="28"/>
              </w:rPr>
            </w:pPr>
            <w:r>
              <w:rPr>
                <w:rFonts w:hint="eastAsia" w:ascii="华文楷体" w:hAnsi="华文楷体" w:eastAsia="华文楷体" w:cs="宋体"/>
                <w:b/>
                <w:bCs/>
                <w:sz w:val="28"/>
                <w:szCs w:val="28"/>
              </w:rPr>
              <w:t>报价人：</w:t>
            </w:r>
            <w:r>
              <w:rPr>
                <w:rFonts w:ascii="华文楷体" w:hAnsi="华文楷体" w:eastAsia="华文楷体"/>
                <w:b/>
                <w:bCs/>
                <w:sz w:val="28"/>
                <w:szCs w:val="28"/>
              </w:rPr>
              <w:t xml:space="preserve"> </w:t>
            </w:r>
          </w:p>
          <w:p>
            <w:pPr>
              <w:spacing w:after="160" w:line="259" w:lineRule="auto"/>
              <w:ind w:firstLine="357"/>
              <w:rPr>
                <w:rFonts w:ascii="华文楷体" w:hAnsi="华文楷体" w:eastAsia="华文楷体" w:cs="宋体"/>
                <w:b/>
                <w:bCs/>
                <w:sz w:val="28"/>
                <w:szCs w:val="28"/>
              </w:rPr>
            </w:pPr>
            <w:r>
              <w:rPr>
                <w:rFonts w:hint="eastAsia" w:ascii="华文楷体" w:hAnsi="华文楷体" w:eastAsia="华文楷体" w:cs="宋体"/>
                <w:b/>
                <w:bCs/>
                <w:sz w:val="28"/>
                <w:szCs w:val="28"/>
              </w:rPr>
              <w:t>地 址：</w:t>
            </w:r>
            <w:r>
              <w:rPr>
                <w:rFonts w:ascii="华文楷体" w:hAnsi="华文楷体" w:eastAsia="华文楷体" w:cs="宋体"/>
                <w:b/>
                <w:bCs/>
                <w:sz w:val="28"/>
                <w:szCs w:val="28"/>
              </w:rPr>
              <w:t xml:space="preserve"> </w:t>
            </w:r>
          </w:p>
          <w:p>
            <w:pPr>
              <w:spacing w:after="160" w:line="259" w:lineRule="auto"/>
              <w:ind w:firstLine="357"/>
              <w:rPr>
                <w:rFonts w:ascii="华文楷体" w:hAnsi="华文楷体" w:eastAsia="华文楷体" w:cs="宋体"/>
                <w:b/>
                <w:bCs/>
                <w:sz w:val="28"/>
                <w:szCs w:val="28"/>
              </w:rPr>
            </w:pPr>
            <w:r>
              <w:rPr>
                <w:rFonts w:hint="eastAsia" w:ascii="华文楷体" w:hAnsi="华文楷体" w:eastAsia="华文楷体" w:cs="宋体"/>
                <w:b/>
                <w:bCs/>
                <w:sz w:val="28"/>
                <w:szCs w:val="28"/>
              </w:rPr>
              <w:t>联系人：</w:t>
            </w:r>
            <w:r>
              <w:rPr>
                <w:rFonts w:ascii="华文楷体" w:hAnsi="华文楷体" w:eastAsia="华文楷体" w:cs="宋体"/>
                <w:b/>
                <w:bCs/>
                <w:sz w:val="28"/>
                <w:szCs w:val="28"/>
              </w:rPr>
              <w:t xml:space="preserve"> </w:t>
            </w:r>
          </w:p>
          <w:p>
            <w:pPr>
              <w:spacing w:after="160" w:line="259" w:lineRule="auto"/>
              <w:ind w:firstLine="357"/>
              <w:rPr>
                <w:rFonts w:ascii="华文楷体" w:hAnsi="华文楷体" w:eastAsia="华文楷体" w:cs="宋体"/>
                <w:b/>
                <w:bCs/>
                <w:sz w:val="21"/>
                <w:szCs w:val="24"/>
              </w:rPr>
            </w:pPr>
            <w:r>
              <w:rPr>
                <w:rFonts w:hint="eastAsia" w:ascii="华文楷体" w:hAnsi="华文楷体" w:eastAsia="华文楷体" w:cs="宋体"/>
                <w:b/>
                <w:bCs/>
                <w:sz w:val="28"/>
                <w:szCs w:val="28"/>
              </w:rPr>
              <w:t>电  话：</w:t>
            </w:r>
          </w:p>
        </w:tc>
      </w:tr>
    </w:tbl>
    <w:p>
      <w:pPr>
        <w:pStyle w:val="7"/>
        <w:spacing w:before="0" w:beforeAutospacing="0" w:after="0" w:afterAutospacing="0"/>
        <w:ind w:firstLine="357"/>
      </w:pPr>
    </w:p>
    <w:p>
      <w:pPr>
        <w:pStyle w:val="7"/>
        <w:spacing w:before="0" w:beforeAutospacing="0" w:after="0" w:afterAutospacing="0"/>
        <w:ind w:firstLine="357"/>
      </w:pPr>
    </w:p>
    <w:p>
      <w:pPr>
        <w:pStyle w:val="7"/>
        <w:spacing w:before="0" w:beforeAutospacing="0" w:after="0" w:afterAutospacing="0"/>
        <w:ind w:firstLine="357"/>
      </w:pPr>
      <w:r>
        <w:drawing>
          <wp:inline distT="0" distB="0" distL="0" distR="0">
            <wp:extent cx="5502910" cy="4121150"/>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4"/>
                    <a:stretch>
                      <a:fillRect/>
                    </a:stretch>
                  </pic:blipFill>
                  <pic:spPr>
                    <a:xfrm>
                      <a:off x="0" y="0"/>
                      <a:ext cx="5506370" cy="4124142"/>
                    </a:xfrm>
                    <a:prstGeom prst="rect">
                      <a:avLst/>
                    </a:prstGeom>
                  </pic:spPr>
                </pic:pic>
              </a:graphicData>
            </a:graphic>
          </wp:inline>
        </w:drawing>
      </w:r>
    </w:p>
    <w:sectPr>
      <w:pgSz w:w="11906" w:h="16838"/>
      <w:pgMar w:top="1247" w:right="1247" w:bottom="124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华文楷体">
    <w:panose1 w:val="02010600040101010101"/>
    <w:charset w:val="86"/>
    <w:family w:val="auto"/>
    <w:pitch w:val="default"/>
    <w:sig w:usb0="00000000" w:usb1="00000000" w:usb2="00000000" w:usb3="00000000" w:csb0="00160000" w:csb1="00000000"/>
  </w:font>
  <w:font w:name="??">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00000000" w:usb1="00000000" w:usb2="00000000" w:usb3="00000000" w:csb0="00160000" w:csb1="00000000"/>
  </w:font>
  <w:font w:name="Helvetica">
    <w:panose1 w:val="00000000000000000000"/>
    <w:charset w:val="00"/>
    <w:family w:val="swiss"/>
    <w:pitch w:val="default"/>
    <w:sig w:usb0="00000000" w:usb1="00000000" w:usb2="00000000" w:usb3="00000000" w:csb0="00000000" w:csb1="00000000"/>
  </w:font>
  <w:font w:name="Segoe UI Symbol">
    <w:altName w:val="苹方-简"/>
    <w:panose1 w:val="020B0502040204020203"/>
    <w:charset w:val="00"/>
    <w:family w:val="swiss"/>
    <w:pitch w:val="default"/>
    <w:sig w:usb0="00000000" w:usb1="00000000" w:usb2="00040000" w:usb3="04000000" w:csb0="00000001" w:csb1="40000000"/>
  </w:font>
  <w:font w:name="宋体-简">
    <w:panose1 w:val="0201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66D613"/>
    <w:multiLevelType w:val="singleLevel"/>
    <w:tmpl w:val="1866D613"/>
    <w:lvl w:ilvl="0" w:tentative="0">
      <w:start w:val="1"/>
      <w:numFmt w:val="decimal"/>
      <w:suff w:val="nothing"/>
      <w:lvlText w:val="%1、"/>
      <w:lvlJc w:val="left"/>
    </w:lvl>
  </w:abstractNum>
  <w:abstractNum w:abstractNumId="1">
    <w:nsid w:val="3B695B8E"/>
    <w:multiLevelType w:val="multilevel"/>
    <w:tmpl w:val="3B695B8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UxMTE4YzM4YmEwODQzY2M1NzdiYWQwYzY5ODI5MGQifQ=="/>
  </w:docVars>
  <w:rsids>
    <w:rsidRoot w:val="00567179"/>
    <w:rsid w:val="000137EF"/>
    <w:rsid w:val="0001672D"/>
    <w:rsid w:val="00037238"/>
    <w:rsid w:val="00041EFF"/>
    <w:rsid w:val="00044FF1"/>
    <w:rsid w:val="00062D15"/>
    <w:rsid w:val="00072E93"/>
    <w:rsid w:val="00080874"/>
    <w:rsid w:val="00082BA9"/>
    <w:rsid w:val="000844A8"/>
    <w:rsid w:val="000A440B"/>
    <w:rsid w:val="000A5BCC"/>
    <w:rsid w:val="000B0923"/>
    <w:rsid w:val="000B0F1B"/>
    <w:rsid w:val="000B2E55"/>
    <w:rsid w:val="000D0B42"/>
    <w:rsid w:val="000E1AB5"/>
    <w:rsid w:val="000E4B9B"/>
    <w:rsid w:val="000F7419"/>
    <w:rsid w:val="00102933"/>
    <w:rsid w:val="00122618"/>
    <w:rsid w:val="0013350A"/>
    <w:rsid w:val="00137536"/>
    <w:rsid w:val="00146183"/>
    <w:rsid w:val="001620F2"/>
    <w:rsid w:val="0017790B"/>
    <w:rsid w:val="0019321E"/>
    <w:rsid w:val="0019791D"/>
    <w:rsid w:val="001A052F"/>
    <w:rsid w:val="001C173E"/>
    <w:rsid w:val="001C4B84"/>
    <w:rsid w:val="001C6A07"/>
    <w:rsid w:val="002231BA"/>
    <w:rsid w:val="002375CB"/>
    <w:rsid w:val="00240397"/>
    <w:rsid w:val="002667C1"/>
    <w:rsid w:val="0027711A"/>
    <w:rsid w:val="00295FEE"/>
    <w:rsid w:val="002A0336"/>
    <w:rsid w:val="002D0EFB"/>
    <w:rsid w:val="002D0F2E"/>
    <w:rsid w:val="002F3107"/>
    <w:rsid w:val="002F5388"/>
    <w:rsid w:val="00303660"/>
    <w:rsid w:val="003228FF"/>
    <w:rsid w:val="00346AB5"/>
    <w:rsid w:val="00351F0B"/>
    <w:rsid w:val="00352A44"/>
    <w:rsid w:val="00354D02"/>
    <w:rsid w:val="00357FF4"/>
    <w:rsid w:val="00360A52"/>
    <w:rsid w:val="003639D4"/>
    <w:rsid w:val="00386120"/>
    <w:rsid w:val="003E03F1"/>
    <w:rsid w:val="003E3067"/>
    <w:rsid w:val="00411D54"/>
    <w:rsid w:val="0045592F"/>
    <w:rsid w:val="00462D9C"/>
    <w:rsid w:val="004648D9"/>
    <w:rsid w:val="00465A7C"/>
    <w:rsid w:val="00472D61"/>
    <w:rsid w:val="004973BF"/>
    <w:rsid w:val="004B55AB"/>
    <w:rsid w:val="004C0249"/>
    <w:rsid w:val="004C1D27"/>
    <w:rsid w:val="005506EC"/>
    <w:rsid w:val="0055750F"/>
    <w:rsid w:val="005670B1"/>
    <w:rsid w:val="00567179"/>
    <w:rsid w:val="00567582"/>
    <w:rsid w:val="005939A0"/>
    <w:rsid w:val="00595541"/>
    <w:rsid w:val="005A6AB0"/>
    <w:rsid w:val="005C506F"/>
    <w:rsid w:val="005E77D7"/>
    <w:rsid w:val="005F28FD"/>
    <w:rsid w:val="00612191"/>
    <w:rsid w:val="00614DC1"/>
    <w:rsid w:val="00630949"/>
    <w:rsid w:val="00634D33"/>
    <w:rsid w:val="006353FB"/>
    <w:rsid w:val="006578B6"/>
    <w:rsid w:val="0067639E"/>
    <w:rsid w:val="006779F6"/>
    <w:rsid w:val="006A4CB7"/>
    <w:rsid w:val="006B40DF"/>
    <w:rsid w:val="006D1297"/>
    <w:rsid w:val="00711A10"/>
    <w:rsid w:val="00735CB2"/>
    <w:rsid w:val="00741365"/>
    <w:rsid w:val="00754BE6"/>
    <w:rsid w:val="00762AB2"/>
    <w:rsid w:val="00765BC2"/>
    <w:rsid w:val="0078049B"/>
    <w:rsid w:val="007815FC"/>
    <w:rsid w:val="007A43AE"/>
    <w:rsid w:val="007B2CA5"/>
    <w:rsid w:val="007B388F"/>
    <w:rsid w:val="007E56BA"/>
    <w:rsid w:val="007E68A2"/>
    <w:rsid w:val="007F1BE2"/>
    <w:rsid w:val="007F2AF7"/>
    <w:rsid w:val="00800E3A"/>
    <w:rsid w:val="00802B54"/>
    <w:rsid w:val="00814740"/>
    <w:rsid w:val="00820C8E"/>
    <w:rsid w:val="00824F81"/>
    <w:rsid w:val="00831423"/>
    <w:rsid w:val="00832729"/>
    <w:rsid w:val="008352D1"/>
    <w:rsid w:val="00836082"/>
    <w:rsid w:val="00847F41"/>
    <w:rsid w:val="0088148A"/>
    <w:rsid w:val="00884D13"/>
    <w:rsid w:val="008A0E28"/>
    <w:rsid w:val="008A2FE2"/>
    <w:rsid w:val="008A4C1B"/>
    <w:rsid w:val="008B5497"/>
    <w:rsid w:val="008D3EAB"/>
    <w:rsid w:val="00900B46"/>
    <w:rsid w:val="00907FA3"/>
    <w:rsid w:val="009346FD"/>
    <w:rsid w:val="00934907"/>
    <w:rsid w:val="00965833"/>
    <w:rsid w:val="00970B35"/>
    <w:rsid w:val="00976B04"/>
    <w:rsid w:val="00991BD1"/>
    <w:rsid w:val="009D21A0"/>
    <w:rsid w:val="009D5857"/>
    <w:rsid w:val="009D71E8"/>
    <w:rsid w:val="009F5FC9"/>
    <w:rsid w:val="00A06D00"/>
    <w:rsid w:val="00A1332E"/>
    <w:rsid w:val="00A140E4"/>
    <w:rsid w:val="00A2494E"/>
    <w:rsid w:val="00A37421"/>
    <w:rsid w:val="00A56077"/>
    <w:rsid w:val="00A831CC"/>
    <w:rsid w:val="00A832F8"/>
    <w:rsid w:val="00A92DC8"/>
    <w:rsid w:val="00AC6C21"/>
    <w:rsid w:val="00AE771B"/>
    <w:rsid w:val="00AF269A"/>
    <w:rsid w:val="00AF7636"/>
    <w:rsid w:val="00B10BA4"/>
    <w:rsid w:val="00B24011"/>
    <w:rsid w:val="00B321D3"/>
    <w:rsid w:val="00B41DB0"/>
    <w:rsid w:val="00B422FB"/>
    <w:rsid w:val="00B47372"/>
    <w:rsid w:val="00B66C49"/>
    <w:rsid w:val="00B70E46"/>
    <w:rsid w:val="00B90D8B"/>
    <w:rsid w:val="00BA2F12"/>
    <w:rsid w:val="00BA3016"/>
    <w:rsid w:val="00BB7B8A"/>
    <w:rsid w:val="00BC3E46"/>
    <w:rsid w:val="00BD044B"/>
    <w:rsid w:val="00BE1D19"/>
    <w:rsid w:val="00BF2EDB"/>
    <w:rsid w:val="00C00048"/>
    <w:rsid w:val="00C3689E"/>
    <w:rsid w:val="00C37CCF"/>
    <w:rsid w:val="00C502F2"/>
    <w:rsid w:val="00C71A92"/>
    <w:rsid w:val="00C74D13"/>
    <w:rsid w:val="00C82D3E"/>
    <w:rsid w:val="00C87083"/>
    <w:rsid w:val="00C961A1"/>
    <w:rsid w:val="00CC4F82"/>
    <w:rsid w:val="00D218D8"/>
    <w:rsid w:val="00D33E4F"/>
    <w:rsid w:val="00D35240"/>
    <w:rsid w:val="00D61F3E"/>
    <w:rsid w:val="00D64431"/>
    <w:rsid w:val="00D73E76"/>
    <w:rsid w:val="00D7748E"/>
    <w:rsid w:val="00D84996"/>
    <w:rsid w:val="00D878F6"/>
    <w:rsid w:val="00DC6698"/>
    <w:rsid w:val="00DD1469"/>
    <w:rsid w:val="00DD4A78"/>
    <w:rsid w:val="00DD5C6C"/>
    <w:rsid w:val="00DE2436"/>
    <w:rsid w:val="00DE6370"/>
    <w:rsid w:val="00DF288C"/>
    <w:rsid w:val="00DF2D18"/>
    <w:rsid w:val="00E00750"/>
    <w:rsid w:val="00E16454"/>
    <w:rsid w:val="00E21FBE"/>
    <w:rsid w:val="00E26DC6"/>
    <w:rsid w:val="00E30924"/>
    <w:rsid w:val="00E3696D"/>
    <w:rsid w:val="00E45A68"/>
    <w:rsid w:val="00E5235C"/>
    <w:rsid w:val="00E52DDE"/>
    <w:rsid w:val="00E61671"/>
    <w:rsid w:val="00E61DF2"/>
    <w:rsid w:val="00E67C2D"/>
    <w:rsid w:val="00E753E4"/>
    <w:rsid w:val="00E816D4"/>
    <w:rsid w:val="00EA4D25"/>
    <w:rsid w:val="00EC49F3"/>
    <w:rsid w:val="00EC4AD0"/>
    <w:rsid w:val="00EC5A56"/>
    <w:rsid w:val="00ED6D42"/>
    <w:rsid w:val="00EF7EF2"/>
    <w:rsid w:val="00F03054"/>
    <w:rsid w:val="00F31B14"/>
    <w:rsid w:val="00F3241B"/>
    <w:rsid w:val="00F42168"/>
    <w:rsid w:val="00F430EC"/>
    <w:rsid w:val="00F52A3E"/>
    <w:rsid w:val="00F646D5"/>
    <w:rsid w:val="00F73624"/>
    <w:rsid w:val="00F811A7"/>
    <w:rsid w:val="00F86DD9"/>
    <w:rsid w:val="00F96002"/>
    <w:rsid w:val="00F96BFC"/>
    <w:rsid w:val="00FA1516"/>
    <w:rsid w:val="00FA6305"/>
    <w:rsid w:val="00FA6C38"/>
    <w:rsid w:val="00FD6AA6"/>
    <w:rsid w:val="04631AFD"/>
    <w:rsid w:val="1D412A41"/>
    <w:rsid w:val="27CC2BDC"/>
    <w:rsid w:val="2C844B41"/>
    <w:rsid w:val="3DB10CF9"/>
    <w:rsid w:val="410D137C"/>
    <w:rsid w:val="42636414"/>
    <w:rsid w:val="45065E76"/>
    <w:rsid w:val="486C40FD"/>
    <w:rsid w:val="4E030767"/>
    <w:rsid w:val="54A16736"/>
    <w:rsid w:val="69933041"/>
    <w:rsid w:val="6AB34B99"/>
    <w:rsid w:val="759E232E"/>
    <w:rsid w:val="FD0FBD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3"/>
    <w:qFormat/>
    <w:uiPriority w:val="0"/>
    <w:pPr>
      <w:spacing w:line="533" w:lineRule="auto"/>
      <w:ind w:left="840" w:right="-120"/>
    </w:pPr>
  </w:style>
  <w:style w:type="paragraph" w:styleId="4">
    <w:name w:val="Balloon Text"/>
    <w:basedOn w:val="1"/>
    <w:link w:val="17"/>
    <w:semiHidden/>
    <w:unhideWhenUsed/>
    <w:qFormat/>
    <w:uiPriority w:val="99"/>
    <w:rPr>
      <w:sz w:val="18"/>
      <w:szCs w:val="18"/>
    </w:rPr>
  </w:style>
  <w:style w:type="paragraph" w:styleId="5">
    <w:name w:val="footer"/>
    <w:basedOn w:val="1"/>
    <w:link w:val="19"/>
    <w:unhideWhenUsed/>
    <w:qFormat/>
    <w:uiPriority w:val="0"/>
    <w:pPr>
      <w:tabs>
        <w:tab w:val="center" w:pos="4153"/>
        <w:tab w:val="right" w:pos="8306"/>
      </w:tabs>
      <w:snapToGrid w:val="0"/>
    </w:pPr>
    <w:rPr>
      <w:sz w:val="18"/>
      <w:szCs w:val="18"/>
    </w:rPr>
  </w:style>
  <w:style w:type="paragraph" w:styleId="6">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100" w:beforeAutospacing="1" w:after="100" w:afterAutospacing="1"/>
    </w:pPr>
    <w:rPr>
      <w:rFonts w:ascii="宋体" w:hAnsi="宋体" w:cs="宋体"/>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bCs/>
    </w:rPr>
  </w:style>
  <w:style w:type="character" w:styleId="12">
    <w:name w:val="Emphasis"/>
    <w:qFormat/>
    <w:uiPriority w:val="0"/>
    <w:rPr>
      <w:rFonts w:ascii="Arial" w:hAnsi="Arial"/>
      <w:b/>
      <w:spacing w:val="-10"/>
      <w:sz w:val="18"/>
      <w:lang w:eastAsia="zh-CN"/>
    </w:rPr>
  </w:style>
  <w:style w:type="character" w:customStyle="1" w:styleId="13">
    <w:name w:val="正文文本 字符"/>
    <w:basedOn w:val="10"/>
    <w:link w:val="3"/>
    <w:qFormat/>
    <w:uiPriority w:val="0"/>
    <w:rPr>
      <w:rFonts w:ascii="Times New Roman" w:hAnsi="Times New Roman" w:eastAsia="宋体" w:cs="Times New Roman"/>
      <w:kern w:val="0"/>
      <w:sz w:val="20"/>
      <w:szCs w:val="20"/>
    </w:rPr>
  </w:style>
  <w:style w:type="character" w:customStyle="1" w:styleId="14">
    <w:name w:val="消息标题标签"/>
    <w:qFormat/>
    <w:uiPriority w:val="0"/>
    <w:rPr>
      <w:rFonts w:ascii="Arial" w:hAnsi="Arial"/>
      <w:b/>
      <w:spacing w:val="-4"/>
      <w:sz w:val="18"/>
      <w:lang w:eastAsia="zh-CN"/>
    </w:rPr>
  </w:style>
  <w:style w:type="paragraph" w:customStyle="1" w:styleId="15">
    <w:name w:val="传真标题"/>
    <w:basedOn w:val="1"/>
    <w:qFormat/>
    <w:uiPriority w:val="0"/>
    <w:pPr>
      <w:spacing w:before="240" w:after="60"/>
    </w:pPr>
  </w:style>
  <w:style w:type="paragraph" w:customStyle="1" w:styleId="16">
    <w:name w:val="文档标签"/>
    <w:next w:val="1"/>
    <w:qFormat/>
    <w:uiPriority w:val="0"/>
    <w:pPr>
      <w:spacing w:before="100" w:after="720" w:line="600" w:lineRule="exact"/>
      <w:ind w:left="840"/>
    </w:pPr>
    <w:rPr>
      <w:rFonts w:ascii="Times New Roman" w:hAnsi="Times New Roman" w:eastAsia="宋体" w:cs="Times New Roman"/>
      <w:spacing w:val="-34"/>
      <w:sz w:val="60"/>
      <w:lang w:val="en-US" w:eastAsia="zh-CN" w:bidi="ar-SA"/>
    </w:rPr>
  </w:style>
  <w:style w:type="character" w:customStyle="1" w:styleId="17">
    <w:name w:val="批注框文本 字符"/>
    <w:basedOn w:val="10"/>
    <w:link w:val="4"/>
    <w:semiHidden/>
    <w:qFormat/>
    <w:uiPriority w:val="99"/>
    <w:rPr>
      <w:rFonts w:ascii="Times New Roman" w:hAnsi="Times New Roman" w:eastAsia="宋体" w:cs="Times New Roman"/>
      <w:kern w:val="0"/>
      <w:sz w:val="18"/>
      <w:szCs w:val="18"/>
    </w:rPr>
  </w:style>
  <w:style w:type="character" w:customStyle="1" w:styleId="18">
    <w:name w:val="页眉 字符"/>
    <w:basedOn w:val="10"/>
    <w:link w:val="6"/>
    <w:qFormat/>
    <w:uiPriority w:val="0"/>
    <w:rPr>
      <w:rFonts w:ascii="Times New Roman" w:hAnsi="Times New Roman" w:eastAsia="宋体" w:cs="Times New Roman"/>
      <w:kern w:val="0"/>
      <w:sz w:val="18"/>
      <w:szCs w:val="18"/>
    </w:rPr>
  </w:style>
  <w:style w:type="character" w:customStyle="1" w:styleId="19">
    <w:name w:val="页脚 字符"/>
    <w:basedOn w:val="10"/>
    <w:link w:val="5"/>
    <w:qFormat/>
    <w:uiPriority w:val="0"/>
    <w:rPr>
      <w:rFonts w:ascii="Times New Roman" w:hAnsi="Times New Roman" w:eastAsia="宋体" w:cs="Times New Roman"/>
      <w:kern w:val="0"/>
      <w:sz w:val="18"/>
      <w:szCs w:val="18"/>
    </w:rPr>
  </w:style>
  <w:style w:type="paragraph" w:styleId="20">
    <w:name w:val="List Paragraph"/>
    <w:basedOn w:val="1"/>
    <w:qFormat/>
    <w:uiPriority w:val="34"/>
    <w:pPr>
      <w:ind w:firstLine="420" w:firstLineChars="200"/>
    </w:pPr>
  </w:style>
  <w:style w:type="table" w:customStyle="1" w:styleId="21">
    <w:name w:val="网格型1"/>
    <w:basedOn w:val="8"/>
    <w:qFormat/>
    <w:uiPriority w:val="59"/>
    <w:pPr>
      <w:spacing w:after="160" w:line="259" w:lineRule="auto"/>
    </w:pPr>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5052</Words>
  <Characters>6051</Characters>
  <Lines>38</Lines>
  <Paragraphs>10</Paragraphs>
  <TotalTime>3</TotalTime>
  <ScaleCrop>false</ScaleCrop>
  <LinksUpToDate>false</LinksUpToDate>
  <CharactersWithSpaces>6129</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2022-03-23T13:08:00Z</dcterms:created>
  <dc:creator>微软用户</dc:creator>
  <cp:lastModifiedBy>张俐敏</cp:lastModifiedBy>
  <cp:lastPrinted>2020-09-24T16:21:00Z</cp:lastPrinted>
  <dcterms:modified xsi:type="dcterms:W3CDTF">2024-07-30T20:47:18Z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D24B49792545491BD6E0A8662109A68E_43</vt:lpwstr>
  </property>
</Properties>
</file>