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240" w:line="240" w:lineRule="auto"/>
        <w:ind w:left="0"/>
        <w:rPr>
          <w:rFonts w:hint="eastAsia"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p>
    <w:tbl>
      <w:tblPr>
        <w:tblStyle w:val="8"/>
        <w:tblW w:w="8582" w:type="dxa"/>
        <w:tblInd w:w="426" w:type="dxa"/>
        <w:tblLayout w:type="fixed"/>
        <w:tblCellMar>
          <w:top w:w="0" w:type="dxa"/>
          <w:left w:w="0" w:type="dxa"/>
          <w:bottom w:w="0" w:type="dxa"/>
          <w:right w:w="0" w:type="dxa"/>
        </w:tblCellMar>
      </w:tblPr>
      <w:tblGrid>
        <w:gridCol w:w="1275"/>
        <w:gridCol w:w="3544"/>
        <w:gridCol w:w="851"/>
        <w:gridCol w:w="2912"/>
      </w:tblGrid>
      <w:tr>
        <w:tc>
          <w:tcPr>
            <w:tcW w:w="1275" w:type="dxa"/>
            <w:vAlign w:val="center"/>
          </w:tcPr>
          <w:p>
            <w:pPr>
              <w:pStyle w:val="15"/>
              <w:ind w:right="-278" w:rightChars="-139"/>
              <w:jc w:val="both"/>
              <w:rPr>
                <w:rStyle w:val="14"/>
                <w:rFonts w:hint="eastAsia" w:ascii="微软雅黑" w:hAnsi="微软雅黑" w:eastAsia="微软雅黑"/>
                <w:sz w:val="24"/>
              </w:rPr>
            </w:pPr>
            <w:r>
              <w:rPr>
                <w:rStyle w:val="14"/>
                <w:rFonts w:hint="eastAsia" w:ascii="微软雅黑" w:hAnsi="微软雅黑" w:eastAsia="微软雅黑"/>
                <w:sz w:val="24"/>
              </w:rPr>
              <w:t>报价单位：</w:t>
            </w:r>
          </w:p>
        </w:tc>
        <w:tc>
          <w:tcPr>
            <w:tcW w:w="3544" w:type="dxa"/>
            <w:tcBorders>
              <w:bottom w:val="single" w:color="auto" w:sz="4" w:space="0"/>
            </w:tcBorders>
            <w:vAlign w:val="center"/>
          </w:tcPr>
          <w:p>
            <w:pPr>
              <w:pStyle w:val="15"/>
              <w:jc w:val="both"/>
              <w:rPr>
                <w:sz w:val="21"/>
              </w:rPr>
            </w:pPr>
          </w:p>
        </w:tc>
        <w:tc>
          <w:tcPr>
            <w:tcW w:w="851" w:type="dxa"/>
            <w:vAlign w:val="center"/>
          </w:tcPr>
          <w:p>
            <w:pPr>
              <w:pStyle w:val="15"/>
              <w:jc w:val="both"/>
              <w:rPr>
                <w:rFonts w:hint="eastAsia" w:ascii="微软雅黑" w:hAnsi="微软雅黑" w:eastAsia="微软雅黑"/>
                <w:sz w:val="24"/>
              </w:rPr>
            </w:pPr>
            <w:r>
              <w:rPr>
                <w:rStyle w:val="14"/>
                <w:rFonts w:hint="eastAsia" w:ascii="微软雅黑" w:hAnsi="微软雅黑" w:eastAsia="微软雅黑"/>
                <w:sz w:val="24"/>
              </w:rPr>
              <w:t>联系人：</w:t>
            </w:r>
          </w:p>
        </w:tc>
        <w:tc>
          <w:tcPr>
            <w:tcW w:w="2912" w:type="dxa"/>
            <w:tcBorders>
              <w:bottom w:val="single" w:color="auto" w:sz="4" w:space="0"/>
            </w:tcBorders>
            <w:vAlign w:val="center"/>
          </w:tcPr>
          <w:p>
            <w:pPr>
              <w:pStyle w:val="15"/>
              <w:ind w:firstLine="290" w:firstLineChars="121"/>
              <w:jc w:val="both"/>
              <w:rPr>
                <w:sz w:val="24"/>
              </w:rPr>
            </w:pPr>
          </w:p>
        </w:tc>
      </w:tr>
      <w:tr>
        <w:tc>
          <w:tcPr>
            <w:tcW w:w="1275" w:type="dxa"/>
            <w:vAlign w:val="center"/>
          </w:tcPr>
          <w:p>
            <w:pPr>
              <w:pStyle w:val="15"/>
              <w:ind w:right="-178" w:rightChars="-89"/>
              <w:jc w:val="both"/>
              <w:rPr>
                <w:rStyle w:val="14"/>
                <w:rFonts w:hint="eastAsia" w:ascii="微软雅黑" w:hAnsi="微软雅黑" w:eastAsia="微软雅黑"/>
                <w:sz w:val="24"/>
              </w:rPr>
            </w:pPr>
            <w:r>
              <w:rPr>
                <w:rStyle w:val="14"/>
                <w:rFonts w:hint="eastAsia" w:ascii="微软雅黑" w:hAnsi="微软雅黑" w:eastAsia="微软雅黑"/>
                <w:sz w:val="24"/>
              </w:rPr>
              <w:t>联系电话：</w:t>
            </w:r>
          </w:p>
        </w:tc>
        <w:tc>
          <w:tcPr>
            <w:tcW w:w="3544" w:type="dxa"/>
            <w:tcBorders>
              <w:top w:val="single" w:color="auto" w:sz="4" w:space="0"/>
              <w:bottom w:val="single" w:color="auto" w:sz="4" w:space="0"/>
            </w:tcBorders>
            <w:vAlign w:val="center"/>
          </w:tcPr>
          <w:p>
            <w:pPr>
              <w:pStyle w:val="15"/>
              <w:jc w:val="both"/>
              <w:rPr>
                <w:sz w:val="21"/>
              </w:rPr>
            </w:pPr>
          </w:p>
        </w:tc>
        <w:tc>
          <w:tcPr>
            <w:tcW w:w="851" w:type="dxa"/>
            <w:vAlign w:val="center"/>
          </w:tcPr>
          <w:p>
            <w:pPr>
              <w:pStyle w:val="15"/>
              <w:jc w:val="both"/>
              <w:rPr>
                <w:rFonts w:hint="eastAsia" w:ascii="微软雅黑" w:hAnsi="微软雅黑" w:eastAsia="微软雅黑"/>
                <w:sz w:val="24"/>
              </w:rPr>
            </w:pPr>
            <w:r>
              <w:rPr>
                <w:rStyle w:val="14"/>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5"/>
              <w:ind w:firstLine="290" w:firstLineChars="121"/>
              <w:jc w:val="both"/>
              <w:rPr>
                <w:sz w:val="24"/>
              </w:rPr>
            </w:pPr>
            <w:r>
              <w:rPr>
                <w:rFonts w:hint="eastAsia"/>
                <w:sz w:val="24"/>
              </w:rPr>
              <w:t xml:space="preserve"> 年   月   日</w:t>
            </w:r>
          </w:p>
        </w:tc>
      </w:tr>
      <w:tr>
        <w:tc>
          <w:tcPr>
            <w:tcW w:w="1275" w:type="dxa"/>
            <w:vAlign w:val="center"/>
          </w:tcPr>
          <w:p>
            <w:pPr>
              <w:pStyle w:val="15"/>
              <w:jc w:val="both"/>
              <w:rPr>
                <w:rStyle w:val="14"/>
                <w:rFonts w:hint="eastAsia" w:ascii="微软雅黑" w:hAnsi="微软雅黑" w:eastAsia="微软雅黑"/>
                <w:sz w:val="24"/>
              </w:rPr>
            </w:pPr>
            <w:r>
              <w:rPr>
                <w:rStyle w:val="14"/>
                <w:rFonts w:hint="eastAsia" w:ascii="微软雅黑" w:hAnsi="微软雅黑" w:eastAsia="微软雅黑"/>
                <w:sz w:val="24"/>
              </w:rPr>
              <w:t>主题：</w:t>
            </w:r>
          </w:p>
        </w:tc>
        <w:tc>
          <w:tcPr>
            <w:tcW w:w="3544" w:type="dxa"/>
            <w:tcBorders>
              <w:top w:val="single" w:color="auto" w:sz="4" w:space="0"/>
              <w:bottom w:val="single" w:color="auto" w:sz="4" w:space="0"/>
            </w:tcBorders>
            <w:vAlign w:val="center"/>
          </w:tcPr>
          <w:p>
            <w:pPr>
              <w:pStyle w:val="15"/>
              <w:jc w:val="both"/>
              <w:rPr>
                <w:sz w:val="24"/>
                <w:szCs w:val="24"/>
              </w:rPr>
            </w:pPr>
            <w:r>
              <w:rPr>
                <w:rFonts w:hint="eastAsia" w:ascii="微软雅黑" w:hAnsi="微软雅黑" w:eastAsia="微软雅黑"/>
                <w:sz w:val="22"/>
              </w:rPr>
              <w:t>统一资源发布系统</w:t>
            </w:r>
          </w:p>
        </w:tc>
        <w:tc>
          <w:tcPr>
            <w:tcW w:w="851" w:type="dxa"/>
            <w:vAlign w:val="center"/>
          </w:tcPr>
          <w:p>
            <w:pPr>
              <w:pStyle w:val="15"/>
              <w:jc w:val="both"/>
              <w:rPr>
                <w:rFonts w:hint="eastAsia" w:ascii="微软雅黑" w:hAnsi="微软雅黑" w:eastAsia="微软雅黑"/>
                <w:sz w:val="24"/>
              </w:rPr>
            </w:pPr>
            <w:r>
              <w:rPr>
                <w:rStyle w:val="14"/>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5"/>
              <w:ind w:firstLine="290" w:firstLineChars="121"/>
              <w:jc w:val="both"/>
              <w:rPr>
                <w:sz w:val="24"/>
              </w:rPr>
            </w:pPr>
          </w:p>
        </w:tc>
      </w:tr>
    </w:tbl>
    <w:tbl>
      <w:tblPr>
        <w:tblStyle w:val="9"/>
        <w:tblpPr w:leftFromText="180" w:rightFromText="180" w:vertAnchor="text" w:horzAnchor="margin" w:tblpXSpec="center" w:tblpY="724"/>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17"/>
        <w:gridCol w:w="5225"/>
        <w:gridCol w:w="567"/>
        <w:gridCol w:w="426"/>
        <w:gridCol w:w="369"/>
        <w:gridCol w:w="339"/>
        <w:gridCol w:w="367"/>
        <w:gridCol w:w="909"/>
        <w:gridCol w:w="20"/>
      </w:tblGrid>
      <w:tr>
        <w:trPr>
          <w:trHeight w:val="1247" w:hRule="atLeast"/>
          <w:jc w:val="center"/>
        </w:trPr>
        <w:tc>
          <w:tcPr>
            <w:tcW w:w="757" w:type="dxa"/>
            <w:vAlign w:val="center"/>
          </w:tcPr>
          <w:p>
            <w:pPr>
              <w:pStyle w:val="7"/>
              <w:widowControl w:val="0"/>
              <w:jc w:val="center"/>
              <w:rPr>
                <w:rStyle w:val="11"/>
                <w:rFonts w:hint="eastAsia"/>
                <w:b w:val="0"/>
                <w:szCs w:val="18"/>
              </w:rPr>
            </w:pPr>
            <w:r>
              <w:rPr>
                <w:rStyle w:val="11"/>
                <w:rFonts w:hint="eastAsia"/>
                <w:szCs w:val="18"/>
              </w:rPr>
              <w:t>序号</w:t>
            </w:r>
          </w:p>
        </w:tc>
        <w:tc>
          <w:tcPr>
            <w:tcW w:w="817" w:type="dxa"/>
            <w:vAlign w:val="center"/>
          </w:tcPr>
          <w:p>
            <w:pPr>
              <w:pStyle w:val="7"/>
              <w:widowControl w:val="0"/>
              <w:jc w:val="center"/>
              <w:rPr>
                <w:rStyle w:val="11"/>
                <w:rFonts w:hint="eastAsia"/>
                <w:b w:val="0"/>
                <w:szCs w:val="18"/>
              </w:rPr>
            </w:pPr>
            <w:r>
              <w:rPr>
                <w:rStyle w:val="11"/>
                <w:rFonts w:hint="eastAsia"/>
                <w:szCs w:val="18"/>
              </w:rPr>
              <w:t>名称</w:t>
            </w:r>
          </w:p>
        </w:tc>
        <w:tc>
          <w:tcPr>
            <w:tcW w:w="5792" w:type="dxa"/>
            <w:gridSpan w:val="2"/>
            <w:vAlign w:val="center"/>
          </w:tcPr>
          <w:p>
            <w:pPr>
              <w:pStyle w:val="7"/>
              <w:widowControl w:val="0"/>
              <w:jc w:val="center"/>
              <w:rPr>
                <w:rStyle w:val="11"/>
                <w:rFonts w:hint="eastAsia"/>
                <w:bCs w:val="0"/>
                <w:szCs w:val="18"/>
              </w:rPr>
            </w:pPr>
            <w:r>
              <w:rPr>
                <w:rStyle w:val="11"/>
                <w:rFonts w:hint="eastAsia"/>
                <w:bCs w:val="0"/>
                <w:szCs w:val="18"/>
              </w:rPr>
              <w:t>功能以及服务内容</w:t>
            </w:r>
          </w:p>
        </w:tc>
        <w:tc>
          <w:tcPr>
            <w:tcW w:w="795" w:type="dxa"/>
            <w:gridSpan w:val="2"/>
            <w:vAlign w:val="center"/>
          </w:tcPr>
          <w:p>
            <w:pPr>
              <w:pStyle w:val="7"/>
              <w:widowControl w:val="0"/>
              <w:jc w:val="center"/>
              <w:rPr>
                <w:rStyle w:val="11"/>
                <w:rFonts w:hint="eastAsia"/>
                <w:bCs w:val="0"/>
                <w:szCs w:val="18"/>
              </w:rPr>
            </w:pPr>
            <w:r>
              <w:rPr>
                <w:rStyle w:val="11"/>
                <w:rFonts w:hint="eastAsia"/>
                <w:bCs w:val="0"/>
                <w:szCs w:val="18"/>
              </w:rPr>
              <w:t>型号</w:t>
            </w:r>
          </w:p>
        </w:tc>
        <w:tc>
          <w:tcPr>
            <w:tcW w:w="706" w:type="dxa"/>
            <w:gridSpan w:val="2"/>
            <w:vAlign w:val="center"/>
          </w:tcPr>
          <w:p>
            <w:pPr>
              <w:pStyle w:val="7"/>
              <w:widowControl w:val="0"/>
              <w:jc w:val="center"/>
              <w:rPr>
                <w:rStyle w:val="11"/>
                <w:rFonts w:hint="eastAsia"/>
                <w:bCs w:val="0"/>
                <w:szCs w:val="18"/>
              </w:rPr>
            </w:pPr>
            <w:r>
              <w:rPr>
                <w:rStyle w:val="11"/>
                <w:rFonts w:hint="eastAsia"/>
                <w:bCs w:val="0"/>
                <w:szCs w:val="18"/>
              </w:rPr>
              <w:t>数量</w:t>
            </w:r>
          </w:p>
        </w:tc>
        <w:tc>
          <w:tcPr>
            <w:tcW w:w="929" w:type="dxa"/>
            <w:gridSpan w:val="2"/>
            <w:vAlign w:val="center"/>
          </w:tcPr>
          <w:p>
            <w:pPr>
              <w:pStyle w:val="7"/>
              <w:widowControl w:val="0"/>
              <w:jc w:val="center"/>
              <w:rPr>
                <w:rStyle w:val="11"/>
                <w:rFonts w:hint="eastAsia"/>
                <w:bCs w:val="0"/>
                <w:szCs w:val="18"/>
              </w:rPr>
            </w:pPr>
            <w:r>
              <w:rPr>
                <w:rStyle w:val="11"/>
                <w:rFonts w:hint="eastAsia"/>
                <w:bCs w:val="0"/>
                <w:szCs w:val="18"/>
              </w:rPr>
              <w:t>报价</w:t>
            </w:r>
          </w:p>
        </w:tc>
      </w:tr>
      <w:tr>
        <w:trPr>
          <w:trHeight w:val="1561" w:hRule="atLeast"/>
          <w:jc w:val="center"/>
        </w:trPr>
        <w:tc>
          <w:tcPr>
            <w:tcW w:w="757" w:type="dxa"/>
            <w:vAlign w:val="center"/>
          </w:tcPr>
          <w:p>
            <w:pPr>
              <w:pStyle w:val="7"/>
              <w:widowControl w:val="0"/>
              <w:jc w:val="center"/>
              <w:rPr>
                <w:rStyle w:val="11"/>
                <w:rFonts w:hint="eastAsia"/>
                <w:szCs w:val="18"/>
              </w:rPr>
            </w:pPr>
            <w:r>
              <w:rPr>
                <w:rStyle w:val="11"/>
                <w:rFonts w:hint="eastAsia"/>
                <w:szCs w:val="18"/>
              </w:rPr>
              <w:t>1</w:t>
            </w:r>
          </w:p>
        </w:tc>
        <w:tc>
          <w:tcPr>
            <w:tcW w:w="817" w:type="dxa"/>
            <w:vAlign w:val="center"/>
          </w:tcPr>
          <w:p>
            <w:pPr>
              <w:jc w:val="center"/>
              <w:rPr>
                <w:sz w:val="24"/>
                <w:szCs w:val="24"/>
              </w:rPr>
            </w:pPr>
            <w:r>
              <w:rPr>
                <w:rFonts w:hint="eastAsia" w:ascii="微软雅黑" w:hAnsi="微软雅黑" w:eastAsia="微软雅黑"/>
                <w:sz w:val="22"/>
              </w:rPr>
              <w:t>统一资源发布系统</w:t>
            </w:r>
          </w:p>
        </w:tc>
        <w:tc>
          <w:tcPr>
            <w:tcW w:w="5792" w:type="dxa"/>
            <w:gridSpan w:val="2"/>
            <w:vAlign w:val="center"/>
          </w:tcPr>
          <w:tbl>
            <w:tblPr>
              <w:tblStyle w:val="8"/>
              <w:tblW w:w="5690" w:type="dxa"/>
              <w:tblInd w:w="0" w:type="dxa"/>
              <w:tblLayout w:type="fixed"/>
              <w:tblCellMar>
                <w:top w:w="0" w:type="dxa"/>
                <w:left w:w="108" w:type="dxa"/>
                <w:bottom w:w="0" w:type="dxa"/>
                <w:right w:w="108" w:type="dxa"/>
              </w:tblCellMar>
            </w:tblPr>
            <w:tblGrid>
              <w:gridCol w:w="1238"/>
              <w:gridCol w:w="4452"/>
            </w:tblGrid>
            <w:tr>
              <w:trPr>
                <w:trHeight w:val="315" w:hRule="atLeast"/>
              </w:trPr>
              <w:tc>
                <w:tcPr>
                  <w:tcW w:w="1238" w:type="dxa"/>
                  <w:tcBorders>
                    <w:top w:val="single" w:color="000000" w:sz="4" w:space="0"/>
                    <w:left w:val="single" w:color="000000" w:sz="4" w:space="0"/>
                    <w:bottom w:val="single" w:color="000000" w:sz="4" w:space="0"/>
                    <w:right w:val="single" w:color="000000" w:sz="4" w:space="0"/>
                  </w:tcBorders>
                  <w:shd w:val="clear" w:color="auto" w:fill="8DB3E2"/>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技术指标</w:t>
                  </w:r>
                </w:p>
              </w:tc>
              <w:tc>
                <w:tcPr>
                  <w:tcW w:w="4452" w:type="dxa"/>
                  <w:tcBorders>
                    <w:top w:val="single" w:color="000000" w:sz="4" w:space="0"/>
                    <w:left w:val="single" w:color="000000" w:sz="4" w:space="0"/>
                    <w:bottom w:val="single" w:color="000000" w:sz="4" w:space="0"/>
                    <w:right w:val="single" w:color="000000" w:sz="4" w:space="0"/>
                  </w:tcBorders>
                  <w:shd w:val="clear" w:color="auto" w:fill="8DB3E2"/>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功能</w:t>
                  </w:r>
                </w:p>
              </w:tc>
            </w:tr>
            <w:tr>
              <w:trPr>
                <w:trHeight w:val="315" w:hRule="atLeast"/>
              </w:trPr>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基本要求</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要求系统至少支持管理100个网站</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eastAsia" w:ascii="宋体" w:hAnsi="宋体" w:cs="宋体"/>
                      <w:color w:val="000000"/>
                      <w:lang w:bidi="ar"/>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产品支持物理机部署，硬件设备应为海光等国产CPU，32G及以上内存，2T及以上硬盘，6个千兆电口，冗余电源，标准2U设备。</w:t>
                  </w:r>
                </w:p>
              </w:tc>
            </w:tr>
            <w:tr>
              <w:trPr>
                <w:trHeight w:val="720" w:hRule="atLeast"/>
              </w:trPr>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hint="eastAsia" w:ascii="宋体" w:hAnsi="宋体" w:cs="宋体"/>
                      <w:color w:val="000000"/>
                    </w:rPr>
                  </w:pPr>
                  <w:r>
                    <w:rPr>
                      <w:rFonts w:hint="eastAsia" w:ascii="宋体" w:hAnsi="宋体" w:cs="宋体"/>
                      <w:color w:val="000000"/>
                      <w:lang w:bidi="ar"/>
                    </w:rPr>
                    <w:t>系统基础能力</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对外提供IPv6代理功能，实现在不修改业务配置情况下，赋予原IPv4业务对外使用IPv6访问；对外提供HTTPS代理功能，实现不修改业务配置情况下，赋予原HTTP协议业务对外使用HTTPS协议访问；支持HTTP自动重定向HTTPS功能，实现不修改原业务配置情况下，提供对外HTTP协议自动重定向至HTTPS协议访问。</w:t>
                  </w:r>
                  <w:r>
                    <w:rPr>
                      <w:rFonts w:hint="eastAsia" w:ascii="宋体" w:hAnsi="宋体" w:cs="宋体"/>
                      <w:b/>
                      <w:bCs/>
                      <w:color w:val="000000"/>
                      <w:lang w:bidi="ar"/>
                    </w:rPr>
                    <w:t>（要求管理界面截图）</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支持应用的批量导入、导出、删除功能。</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具备配置http2.0协议发布，发布网站支持通过http2协议访问</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支持IP代理应用发布，通过IP+端口的形式代理内部不同业务；支持以同一个域名不同路径的方式发布不同的业务系统，子应用应自动继承主应用的所有配置。</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支持发布应用对后端服务的负载均衡，将用户访问的流量按照不同的算法转发到相应的服务器上，以此平衡后端服务器的访问压力。支持业务系统进行根据自身业务压力进行动态扩容</w:t>
                  </w:r>
                  <w:r>
                    <w:rPr>
                      <w:rFonts w:hint="eastAsia" w:ascii="宋体" w:hAnsi="宋体" w:cs="宋体"/>
                      <w:b/>
                      <w:bCs/>
                      <w:color w:val="000000"/>
                      <w:lang w:bidi="ar"/>
                    </w:rPr>
                    <w:t>（要求管理界面截图）</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支持应用探测服务，探测业务应用相关的内链、外链, 用于辅助管理员发布业务应用系统。</w:t>
                  </w:r>
                  <w:r>
                    <w:rPr>
                      <w:rFonts w:hint="eastAsia" w:ascii="宋体" w:hAnsi="宋体" w:cs="宋体"/>
                      <w:b/>
                      <w:bCs/>
                      <w:color w:val="000000"/>
                      <w:lang w:bidi="ar"/>
                    </w:rPr>
                    <w:t>（要求管理界面截图）</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支持证书上传、发布、下载，并且展示当前证书绑定应用数量和详情。</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支持免费单域名、泛域名证书自动签发、免费证书续签和证书的自动更新。（要求管理界面截图）</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支持对发布的业务进行可用性检测、外链、暗链、死链检测、非法网页检测、敏感关键词检测等能力</w:t>
                  </w:r>
                  <w:r>
                    <w:rPr>
                      <w:rFonts w:hint="eastAsia" w:ascii="宋体" w:hAnsi="宋体" w:cs="宋体"/>
                      <w:b/>
                      <w:bCs/>
                      <w:color w:val="000000"/>
                      <w:lang w:bidi="ar"/>
                    </w:rPr>
                    <w:t>（要求管理界面截图）</w:t>
                  </w:r>
                </w:p>
              </w:tc>
            </w:tr>
            <w:tr>
              <w:trPr>
                <w:trHeight w:val="315" w:hRule="atLeast"/>
              </w:trPr>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hint="eastAsia" w:ascii="宋体" w:hAnsi="宋体" w:cs="宋体"/>
                      <w:color w:val="000000"/>
                    </w:rPr>
                  </w:pPr>
                  <w:r>
                    <w:rPr>
                      <w:rFonts w:hint="eastAsia" w:ascii="宋体" w:hAnsi="宋体" w:cs="宋体"/>
                      <w:color w:val="000000"/>
                      <w:lang w:bidi="ar"/>
                    </w:rPr>
                    <w:t>安全策略</w:t>
                  </w: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支持时间策略，可针对时间范围为每天、每周、日期范围的时间，执行范围为：全局、应用组、应用进行灵活的时间策略配置。</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支持源IP地址进行策略管控，可针对IPv4地址、范围、网段，IPv6地址等进行策略管控。</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支持waf规则配置，有效阻拦如XSS、SQL注入、DOS等非法攻击行为，提供停用、观察和启用三种模式选择，支持多种规则集勾选。</w:t>
                  </w:r>
                </w:p>
              </w:tc>
            </w:tr>
            <w:tr>
              <w:trPr>
                <w:trHeight w:val="315"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支持用户访问过程中携带的敏感信息脱敏，包括身份证、手机号、银行卡敏感信息脱敏；</w:t>
                  </w:r>
                  <w:r>
                    <w:rPr>
                      <w:rFonts w:hint="eastAsia" w:ascii="宋体" w:hAnsi="宋体" w:cs="宋体"/>
                      <w:b/>
                      <w:bCs/>
                      <w:color w:val="000000"/>
                      <w:lang w:bidi="ar"/>
                    </w:rPr>
                    <w:t>（要求管理界面截图）</w:t>
                  </w:r>
                </w:p>
              </w:tc>
            </w:tr>
            <w:tr>
              <w:trPr>
                <w:trHeight w:val="96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验证码验证功能。策略开启后，在访客首次访问应用时，会触发滑动解锁验证码机制，当更换浏览器、清空浏览器缓存或者重新打开浏览器时，会重新触发此机制；支持POST表单防护。访问过程中，校验访客的访问行为，判断人机，采取滑动解锁验证码机制或者锁定IP的机制；支持配置防人机策略白名单。检测用户的源IP，与IP白名单进行对比，IP一致的情况下将跳过防人机策略。</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支持路径访问控制，对配置应用中目标PATH路径的链接进行IP地址访问控制，可以针对不同的PATH路径编辑不同的访问控制策略，以此实现对发布应用的精细化访问控制。</w:t>
                  </w:r>
                </w:p>
              </w:tc>
            </w:tr>
            <w:tr>
              <w:trPr>
                <w:trHeight w:val="480"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支持针对应用的自定义修改HTTP请求头、响应头、响应体等处理，实现对WEB安全加固、网站限速、真实服务器信息隐藏、绝对路径替换等能力</w:t>
                  </w:r>
                  <w:r>
                    <w:rPr>
                      <w:rFonts w:hint="eastAsia" w:ascii="宋体" w:hAnsi="宋体" w:cs="宋体"/>
                      <w:b/>
                      <w:bCs/>
                      <w:color w:val="000000"/>
                      <w:lang w:bidi="ar"/>
                    </w:rPr>
                    <w:t>（要求管理界面截图）</w:t>
                  </w:r>
                </w:p>
              </w:tc>
            </w:tr>
            <w:tr>
              <w:trPr>
                <w:trHeight w:val="612" w:hRule="atLeast"/>
              </w:trPr>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支持基于属性的自适应策略编排。可以通过动态计算一个或多个属性形成策略链来判断是否拥有相应的权限策略（可以编写简单的逻辑）。策略属性和策略模型均可动态新增，能够实现灵活的权限控制。</w:t>
                  </w:r>
                </w:p>
              </w:tc>
            </w:tr>
            <w:tr>
              <w:trPr>
                <w:trHeight w:val="48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rPr>
                  </w:pPr>
                  <w:r>
                    <w:rPr>
                      <w:rFonts w:hint="eastAsia" w:ascii="宋体" w:hAnsi="宋体" w:cs="宋体"/>
                      <w:color w:val="000000"/>
                      <w:lang w:bidi="ar"/>
                    </w:rPr>
                    <w:t>系统管理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支持配置通用策略包括：缓存加速，可对后端服务器的静态访问资源进行缓存，减少加载时间；支持X-Forwarded-For数据透传，向后端服务器发送真实IP地址信息，以便后端服务器进行数据梳理与审计。</w:t>
                  </w:r>
                </w:p>
              </w:tc>
            </w:tr>
            <w:tr>
              <w:trPr>
                <w:trHeight w:val="31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支持远程一键断网。管理员可通过微信小程序，对业务系统进行一键上线/下线功能；</w:t>
                  </w:r>
                  <w:r>
                    <w:rPr>
                      <w:rFonts w:hint="eastAsia" w:ascii="宋体" w:hAnsi="宋体" w:cs="宋体"/>
                      <w:b/>
                      <w:bCs/>
                      <w:color w:val="000000"/>
                      <w:lang w:bidi="ar"/>
                    </w:rPr>
                    <w:t>（要求管理界面截图）</w:t>
                  </w:r>
                </w:p>
              </w:tc>
            </w:tr>
            <w:tr>
              <w:trPr>
                <w:trHeight w:val="48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系统运行状态检测，监测网关及控制中心的网卡速率、磁盘速率、内存使用率、磁盘使用率、CPU使用率等；支持设备、应用资源告警等级设置，要求可自定义紧急、重要、次要、提示告警等级，并可自定义设置告警产生阈值及消除阈值；</w:t>
                  </w:r>
                </w:p>
              </w:tc>
            </w:tr>
            <w:tr>
              <w:trPr>
                <w:trHeight w:val="31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hint="eastAsia" w:ascii="宋体" w:hAnsi="宋体" w:cs="宋体"/>
                      <w:color w:val="000000"/>
                    </w:rPr>
                  </w:pPr>
                  <w:r>
                    <w:rPr>
                      <w:rFonts w:hint="eastAsia" w:ascii="宋体" w:hAnsi="宋体" w:cs="宋体"/>
                      <w:color w:val="000000"/>
                      <w:lang w:bidi="ar"/>
                    </w:rPr>
                    <w:t>支持系统信息的手动或自动备份功能，备份存储位置需支持本地存储及远程服务器存储，备份信息可保存180天；</w:t>
                  </w:r>
                </w:p>
              </w:tc>
            </w:tr>
            <w:tr>
              <w:trPr>
                <w:trHeight w:val="72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管理员登录IP白名单，可配置管理员访问管理端所使用终端设备的IPv4、IPv4段、IPv4范围、IPv6；要求可配置管理员二次认证功能，管理员在访问管理端时，需结合手机短信或邮箱认证方式进行二次认证，才可正常访问管理后台</w:t>
                  </w:r>
                  <w:r>
                    <w:rPr>
                      <w:rFonts w:hint="eastAsia" w:ascii="宋体" w:hAnsi="宋体" w:cs="宋体"/>
                      <w:b/>
                      <w:bCs/>
                      <w:color w:val="000000"/>
                      <w:lang w:bidi="ar"/>
                    </w:rPr>
                    <w:t>（要求管理界面截图）</w:t>
                  </w:r>
                </w:p>
              </w:tc>
            </w:tr>
            <w:tr>
              <w:trPr>
                <w:trHeight w:val="31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支持管理员角色和账号的创建，系统自带三权分立权限分配，包括：操作管理员、审计管理员和系统管理员。</w:t>
                  </w:r>
                </w:p>
              </w:tc>
            </w:tr>
            <w:tr>
              <w:trPr>
                <w:trHeight w:val="31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支持单台或多台Syslog服务器日志转发。</w:t>
                  </w:r>
                </w:p>
              </w:tc>
            </w:tr>
            <w:tr>
              <w:trPr>
                <w:trHeight w:val="315"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rPr>
                  </w:pPr>
                  <w:r>
                    <w:rPr>
                      <w:rFonts w:hint="eastAsia" w:ascii="宋体" w:hAnsi="宋体" w:cs="宋体"/>
                      <w:color w:val="000000"/>
                      <w:lang w:bidi="ar"/>
                    </w:rPr>
                    <w:t>日志审计</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产品应提供详细的管理员操作日志（时间、账号、IP、操作等）、应用访问日志（时间、IP、地区、应用名称等）；</w:t>
                  </w:r>
                </w:p>
              </w:tc>
            </w:tr>
            <w:tr>
              <w:trPr>
                <w:trHeight w:val="72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支持详细的日志分析功能，包括应用状态分析（请求数、响应时长、请求失败率等）；提供应用访问流量分析（实时流量趋势监控，应用访问流量统计等）；应用访问量日志分析（实时访问量趋势、应用总访问次数统计等）；可统计展示各应用在各个地区的访问频次，可查看详细IP的业务访问频次。</w:t>
                  </w:r>
                  <w:bookmarkStart w:id="0" w:name="_GoBack"/>
                  <w:r>
                    <w:rPr>
                      <w:rFonts w:hint="eastAsia" w:ascii="宋体" w:hAnsi="宋体" w:cs="宋体"/>
                      <w:b/>
                      <w:bCs/>
                      <w:color w:val="000000"/>
                      <w:lang w:bidi="ar"/>
                    </w:rPr>
                    <w:t>（要求管理界面截图）</w:t>
                  </w:r>
                  <w:bookmarkEnd w:id="0"/>
                </w:p>
              </w:tc>
            </w:tr>
            <w:tr>
              <w:trPr>
                <w:trHeight w:val="315"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rPr>
                  </w:pPr>
                  <w:r>
                    <w:rPr>
                      <w:rFonts w:hint="eastAsia" w:ascii="宋体" w:hAnsi="宋体" w:cs="宋体"/>
                      <w:color w:val="000000"/>
                      <w:lang w:bidi="ar"/>
                    </w:rPr>
                    <w:t>服务要求</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提供原厂三年软硬件质保。</w:t>
                  </w:r>
                </w:p>
              </w:tc>
            </w:tr>
            <w:tr>
              <w:trPr>
                <w:trHeight w:val="31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rPr>
                  </w:pPr>
                  <w:r>
                    <w:rPr>
                      <w:rFonts w:hint="eastAsia" w:ascii="宋体" w:hAnsi="宋体" w:cs="宋体"/>
                      <w:color w:val="000000"/>
                      <w:lang w:bidi="ar"/>
                    </w:rPr>
                    <w:t>针对本次系统中存在的bug、缺陷、信息安全漏洞，不论在保期内、外，投标方均应免费持续提供修正与消缺服务。</w:t>
                  </w:r>
                </w:p>
              </w:tc>
            </w:tr>
            <w:tr>
              <w:trPr>
                <w:trHeight w:val="315"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rPr>
                  </w:pPr>
                  <w:r>
                    <w:rPr>
                      <w:rFonts w:hint="eastAsia" w:ascii="宋体" w:hAnsi="宋体" w:cs="宋体"/>
                      <w:color w:val="000000"/>
                    </w:rPr>
                    <w:t>联动要求</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宋体" w:hAnsi="宋体" w:cs="宋体"/>
                      <w:color w:val="000000"/>
                      <w:lang w:bidi="ar"/>
                    </w:rPr>
                  </w:pPr>
                  <w:r>
                    <w:rPr>
                      <w:rFonts w:hint="eastAsia" w:ascii="宋体" w:hAnsi="宋体" w:cs="宋体"/>
                      <w:color w:val="000000"/>
                      <w:lang w:bidi="ar"/>
                    </w:rPr>
                    <w:t>其他要求：发布系统应支持与学校现有网站云监控平台实现联动，在发布系统里发布的应用，自动在网站云监控中生成任务，监控该应用的可用性、外链、暗链、死链等，并在发布平台中展示</w:t>
                  </w:r>
                  <w:r>
                    <w:rPr>
                      <w:rFonts w:hint="eastAsia" w:ascii="宋体" w:hAnsi="宋体" w:cs="宋体"/>
                      <w:b/>
                      <w:bCs/>
                      <w:color w:val="000000"/>
                      <w:lang w:bidi="ar"/>
                    </w:rPr>
                    <w:t>（提供产品功能截图）</w:t>
                  </w:r>
                </w:p>
              </w:tc>
            </w:tr>
          </w:tbl>
          <w:p>
            <w:pPr>
              <w:spacing w:line="320" w:lineRule="exact"/>
              <w:rPr>
                <w:b/>
                <w:bCs/>
                <w:sz w:val="21"/>
                <w:szCs w:val="21"/>
              </w:rPr>
            </w:pPr>
            <w:r>
              <w:rPr>
                <w:rFonts w:hint="eastAsia"/>
                <w:b/>
                <w:bCs/>
                <w:sz w:val="21"/>
                <w:szCs w:val="21"/>
              </w:rPr>
              <w:t>为保证此次采购的安全设备运维平稳过渡，要求供应商安排具有网安云安全ACCSS证书的工程师或ACSE证书的工程师或安全CISP-PTE证书的工程师实施。</w:t>
            </w:r>
          </w:p>
        </w:tc>
        <w:tc>
          <w:tcPr>
            <w:tcW w:w="795" w:type="dxa"/>
            <w:gridSpan w:val="2"/>
            <w:vAlign w:val="center"/>
          </w:tcPr>
          <w:p>
            <w:pPr>
              <w:jc w:val="center"/>
              <w:rPr>
                <w:rFonts w:hint="eastAsia" w:ascii="宋体" w:hAnsi="宋体"/>
                <w:szCs w:val="21"/>
              </w:rPr>
            </w:pPr>
          </w:p>
        </w:tc>
        <w:tc>
          <w:tcPr>
            <w:tcW w:w="706" w:type="dxa"/>
            <w:gridSpan w:val="2"/>
            <w:vAlign w:val="center"/>
          </w:tcPr>
          <w:p>
            <w:pPr>
              <w:jc w:val="center"/>
              <w:rPr>
                <w:rFonts w:hint="eastAsia" w:ascii="宋体" w:hAnsi="宋体"/>
                <w:szCs w:val="21"/>
              </w:rPr>
            </w:pPr>
            <w:r>
              <w:rPr>
                <w:rFonts w:hint="eastAsia" w:ascii="宋体" w:hAnsi="宋体"/>
                <w:szCs w:val="21"/>
              </w:rPr>
              <w:t>1套</w:t>
            </w:r>
          </w:p>
        </w:tc>
        <w:tc>
          <w:tcPr>
            <w:tcW w:w="929" w:type="dxa"/>
            <w:gridSpan w:val="2"/>
            <w:vAlign w:val="center"/>
          </w:tcPr>
          <w:p>
            <w:pPr>
              <w:jc w:val="center"/>
              <w:rPr>
                <w:rFonts w:hint="eastAsia" w:ascii="宋体" w:hAnsi="宋体"/>
                <w:szCs w:val="21"/>
              </w:rPr>
            </w:pPr>
          </w:p>
        </w:tc>
      </w:tr>
      <w:tr>
        <w:trPr>
          <w:gridAfter w:val="1"/>
          <w:wAfter w:w="20" w:type="dxa"/>
          <w:trHeight w:val="467" w:hRule="atLeast"/>
          <w:jc w:val="center"/>
        </w:trPr>
        <w:tc>
          <w:tcPr>
            <w:tcW w:w="757" w:type="dxa"/>
            <w:vAlign w:val="center"/>
          </w:tcPr>
          <w:p>
            <w:pPr>
              <w:pStyle w:val="7"/>
              <w:widowControl w:val="0"/>
              <w:rPr>
                <w:rStyle w:val="11"/>
                <w:rFonts w:hint="eastAsia"/>
                <w:szCs w:val="18"/>
              </w:rPr>
            </w:pPr>
            <w:r>
              <w:rPr>
                <w:rStyle w:val="11"/>
                <w:rFonts w:hint="eastAsia"/>
                <w:szCs w:val="18"/>
              </w:rPr>
              <w:t>合计</w:t>
            </w:r>
          </w:p>
        </w:tc>
        <w:tc>
          <w:tcPr>
            <w:tcW w:w="6042" w:type="dxa"/>
            <w:gridSpan w:val="2"/>
            <w:vAlign w:val="center"/>
          </w:tcPr>
          <w:p>
            <w:pPr>
              <w:rPr>
                <w:rFonts w:hint="eastAsia" w:ascii="宋体" w:hAnsi="宋体"/>
                <w:szCs w:val="21"/>
              </w:rPr>
            </w:pPr>
            <w:r>
              <w:rPr>
                <w:rFonts w:hint="eastAsia" w:ascii="宋体" w:hAnsi="宋体"/>
                <w:szCs w:val="21"/>
              </w:rPr>
              <w:t>人民币大写：</w:t>
            </w:r>
            <w:r>
              <w:rPr>
                <w:rFonts w:ascii="宋体" w:hAnsi="宋体"/>
                <w:szCs w:val="21"/>
              </w:rPr>
              <w:t xml:space="preserve"> </w:t>
            </w:r>
          </w:p>
        </w:tc>
        <w:tc>
          <w:tcPr>
            <w:tcW w:w="993" w:type="dxa"/>
            <w:gridSpan w:val="2"/>
            <w:vAlign w:val="center"/>
          </w:tcPr>
          <w:p>
            <w:pPr>
              <w:ind w:firstLine="400" w:firstLineChars="200"/>
              <w:rPr>
                <w:rFonts w:hint="eastAsia" w:ascii="宋体" w:hAnsi="宋体"/>
                <w:szCs w:val="21"/>
              </w:rPr>
            </w:pPr>
          </w:p>
        </w:tc>
        <w:tc>
          <w:tcPr>
            <w:tcW w:w="708" w:type="dxa"/>
            <w:gridSpan w:val="2"/>
            <w:vAlign w:val="center"/>
          </w:tcPr>
          <w:p>
            <w:pPr>
              <w:ind w:firstLine="400" w:firstLineChars="200"/>
              <w:rPr>
                <w:rFonts w:hint="eastAsia" w:ascii="宋体" w:hAnsi="宋体"/>
                <w:szCs w:val="21"/>
              </w:rPr>
            </w:pPr>
          </w:p>
        </w:tc>
        <w:tc>
          <w:tcPr>
            <w:tcW w:w="1276" w:type="dxa"/>
            <w:gridSpan w:val="2"/>
            <w:vAlign w:val="center"/>
          </w:tcPr>
          <w:p>
            <w:pPr>
              <w:rPr>
                <w:rFonts w:hint="eastAsia" w:ascii="宋体" w:hAnsi="宋体"/>
                <w:szCs w:val="21"/>
              </w:rPr>
            </w:pPr>
          </w:p>
        </w:tc>
      </w:tr>
    </w:tbl>
    <w:p>
      <w:pPr>
        <w:pStyle w:val="7"/>
        <w:spacing w:before="0" w:beforeAutospacing="0" w:after="0" w:afterAutospacing="0"/>
        <w:rPr>
          <w:rFonts w:hint="eastAsia"/>
        </w:rPr>
      </w:pPr>
    </w:p>
    <w:p>
      <w:pPr>
        <w:pStyle w:val="7"/>
        <w:spacing w:before="0" w:beforeAutospacing="0" w:after="0" w:afterAutospacing="0"/>
        <w:ind w:firstLine="357"/>
        <w:rPr>
          <w:rFonts w:hint="eastAsia"/>
          <w:b/>
          <w:bCs/>
        </w:rPr>
      </w:pPr>
      <w:r>
        <w:rPr>
          <w:rFonts w:hint="eastAsia"/>
          <w:b/>
          <w:bCs/>
        </w:rPr>
        <w:t>备注：未提供以上要求截图将作无效报价处理</w:t>
      </w:r>
    </w:p>
    <w:p>
      <w:pPr>
        <w:pStyle w:val="7"/>
        <w:spacing w:before="0" w:beforeAutospacing="0" w:after="0" w:afterAutospacing="0"/>
        <w:rPr>
          <w:rFonts w:hint="eastAsia"/>
        </w:rPr>
      </w:pPr>
    </w:p>
    <w:p>
      <w:pPr>
        <w:pStyle w:val="7"/>
        <w:spacing w:before="0" w:beforeAutospacing="0" w:after="0" w:afterAutospacing="0"/>
        <w:rPr>
          <w:rFonts w:hint="eastAsia"/>
        </w:rPr>
      </w:pPr>
      <w:r>
        <w:rPr>
          <w:rFonts w:hint="eastAsia"/>
        </w:rPr>
        <w:t>报价单位（盖章）：</w:t>
      </w: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ind w:firstLine="357"/>
        <w:rPr>
          <w:rFonts w:hint="eastAsia"/>
        </w:rPr>
      </w:pPr>
      <w:r>
        <w:rPr>
          <w:rFonts w:hint="eastAsia"/>
          <w:b/>
        </w:rPr>
        <w:t>密封包装模板如下：</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4" w:type="dxa"/>
            <w:shd w:val="clear" w:color="auto" w:fill="auto"/>
          </w:tcPr>
          <w:p>
            <w:pPr>
              <w:spacing w:after="160" w:line="259" w:lineRule="auto"/>
              <w:jc w:val="center"/>
              <w:rPr>
                <w:rFonts w:hint="eastAsia" w:ascii="华文楷体" w:hAnsi="华文楷体" w:eastAsia="华文楷体" w:cs="宋体"/>
                <w:b/>
                <w:bCs/>
                <w:lang w:eastAsia="zh-Hans"/>
              </w:rPr>
            </w:pPr>
            <w:r>
              <w:rPr>
                <w:rFonts w:hint="eastAsia" w:ascii="华文楷体" w:hAnsi="华文楷体" w:eastAsia="华文楷体" w:cs="宋体"/>
                <w:b/>
                <w:bCs/>
                <w:sz w:val="72"/>
                <w:szCs w:val="72"/>
                <w:lang w:eastAsia="zh-Hans"/>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4" w:type="dxa"/>
            <w:shd w:val="clear" w:color="auto" w:fill="auto"/>
          </w:tcPr>
          <w:p>
            <w:pPr>
              <w:spacing w:after="160" w:line="259" w:lineRule="auto"/>
              <w:rPr>
                <w:rFonts w:hint="eastAsia" w:ascii="微软雅黑" w:hAnsi="微软雅黑" w:eastAsia="微软雅黑"/>
                <w:sz w:val="22"/>
              </w:rPr>
            </w:pPr>
            <w:r>
              <w:rPr>
                <w:rFonts w:hint="eastAsia" w:ascii="华文楷体" w:hAnsi="华文楷体" w:eastAsia="华文楷体" w:cs="宋体"/>
                <w:b/>
                <w:bCs/>
                <w:sz w:val="28"/>
                <w:szCs w:val="28"/>
              </w:rPr>
              <w:t>项目名称：</w:t>
            </w:r>
            <w:r>
              <w:rPr>
                <w:rFonts w:hint="eastAsia" w:ascii="华文楷体" w:hAnsi="华文楷体"/>
                <w:b/>
                <w:bCs/>
                <w:sz w:val="28"/>
                <w:szCs w:val="28"/>
              </w:rPr>
              <w:t xml:space="preserve"> </w:t>
            </w:r>
            <w:r>
              <w:rPr>
                <w:rFonts w:hint="eastAsia" w:ascii="微软雅黑" w:hAnsi="微软雅黑" w:eastAsia="微软雅黑"/>
                <w:sz w:val="22"/>
              </w:rPr>
              <w:t>统一资源发布系统</w:t>
            </w:r>
          </w:p>
          <w:p>
            <w:pPr>
              <w:spacing w:after="160" w:line="259" w:lineRule="auto"/>
              <w:rPr>
                <w:sz w:val="24"/>
                <w:szCs w:val="24"/>
                <w:lang w:eastAsia="zh-Hans"/>
              </w:rPr>
            </w:pPr>
            <w:r>
              <w:rPr>
                <w:rFonts w:hint="eastAsia" w:ascii="华文楷体" w:hAnsi="华文楷体" w:eastAsia="华文楷体" w:cs="宋体"/>
                <w:b/>
                <w:bCs/>
                <w:sz w:val="28"/>
                <w:szCs w:val="28"/>
              </w:rPr>
              <w:t>报价人：</w:t>
            </w:r>
            <w:r>
              <w:rPr>
                <w:sz w:val="24"/>
                <w:szCs w:val="24"/>
                <w:lang w:eastAsia="zh-Hans"/>
              </w:rPr>
              <w:t xml:space="preserve"> </w:t>
            </w:r>
          </w:p>
          <w:p>
            <w:pPr>
              <w:rPr>
                <w:rFonts w:hint="eastAsia" w:ascii="华文楷体" w:hAnsi="华文楷体" w:eastAsia="华文楷体" w:cs="宋体"/>
                <w:sz w:val="28"/>
                <w:szCs w:val="28"/>
              </w:rPr>
            </w:pPr>
            <w:r>
              <w:rPr>
                <w:rFonts w:hint="eastAsia" w:ascii="华文楷体" w:hAnsi="华文楷体" w:eastAsia="华文楷体" w:cs="宋体"/>
                <w:b/>
                <w:bCs/>
                <w:sz w:val="28"/>
                <w:szCs w:val="28"/>
              </w:rPr>
              <w:t xml:space="preserve">地 </w:t>
            </w:r>
            <w:r>
              <w:rPr>
                <w:rFonts w:ascii="华文楷体" w:hAnsi="华文楷体" w:eastAsia="华文楷体" w:cs="宋体"/>
                <w:b/>
                <w:bCs/>
                <w:sz w:val="28"/>
                <w:szCs w:val="28"/>
              </w:rPr>
              <w:t xml:space="preserve"> </w:t>
            </w:r>
            <w:r>
              <w:rPr>
                <w:rFonts w:hint="eastAsia" w:ascii="华文楷体" w:hAnsi="华文楷体" w:eastAsia="华文楷体" w:cs="宋体"/>
                <w:b/>
                <w:bCs/>
                <w:sz w:val="28"/>
                <w:szCs w:val="28"/>
              </w:rPr>
              <w:t>址：</w:t>
            </w:r>
          </w:p>
          <w:p>
            <w:pPr>
              <w:spacing w:after="160" w:line="259" w:lineRule="auto"/>
              <w:rPr>
                <w:rFonts w:hint="eastAsia"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rPr>
                <w:rFonts w:hint="eastAsia" w:ascii="华文楷体" w:hAnsi="华文楷体" w:eastAsia="华文楷体" w:cs="宋体"/>
                <w:b/>
                <w:bCs/>
              </w:rPr>
            </w:pPr>
            <w:r>
              <w:rPr>
                <w:rFonts w:hint="eastAsia" w:ascii="华文楷体" w:hAnsi="华文楷体" w:eastAsia="华文楷体" w:cs="宋体"/>
                <w:b/>
                <w:bCs/>
                <w:sz w:val="28"/>
                <w:szCs w:val="28"/>
              </w:rPr>
              <w:t>电  话：</w:t>
            </w:r>
          </w:p>
        </w:tc>
      </w:tr>
    </w:tbl>
    <w:p>
      <w:pPr>
        <w:pStyle w:val="7"/>
        <w:spacing w:before="0" w:beforeAutospacing="0" w:after="0" w:afterAutospacing="0"/>
        <w:rPr>
          <w:rFonts w:hint="eastAsia"/>
        </w:rPr>
      </w:pPr>
    </w:p>
    <w:p>
      <w:pPr>
        <w:pStyle w:val="7"/>
        <w:spacing w:before="0" w:beforeAutospacing="0" w:after="0" w:afterAutospacing="0"/>
        <w:ind w:firstLine="357"/>
        <w:rPr>
          <w:rFonts w:hint="eastAsia"/>
        </w:rPr>
      </w:pPr>
      <w:r>
        <w:drawing>
          <wp:inline distT="0" distB="0" distL="0" distR="0">
            <wp:extent cx="5274310" cy="3950335"/>
            <wp:effectExtent l="0" t="0" r="2540" b="0"/>
            <wp:docPr id="343712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1237"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950550"/>
                    </a:xfrm>
                    <a:prstGeom prst="rect">
                      <a:avLst/>
                    </a:prstGeom>
                    <a:noFill/>
                    <a:ln>
                      <a:noFill/>
                    </a:ln>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Helvetica">
    <w:panose1 w:val="00000000000000000000"/>
    <w:charset w:val="00"/>
    <w:family w:val="swiss"/>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华文楷体">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YzMTdmZWVhZGViODMyY2QzODQ0ZDI3Y2Q3NzgifQ=="/>
  </w:docVars>
  <w:rsids>
    <w:rsidRoot w:val="00567179"/>
    <w:rsid w:val="0001672D"/>
    <w:rsid w:val="00062B36"/>
    <w:rsid w:val="00080874"/>
    <w:rsid w:val="000A440B"/>
    <w:rsid w:val="000A5BCC"/>
    <w:rsid w:val="000B0F1B"/>
    <w:rsid w:val="000B224E"/>
    <w:rsid w:val="000B2E55"/>
    <w:rsid w:val="000C6056"/>
    <w:rsid w:val="000D0B42"/>
    <w:rsid w:val="000F7419"/>
    <w:rsid w:val="00122618"/>
    <w:rsid w:val="00124FAD"/>
    <w:rsid w:val="00146183"/>
    <w:rsid w:val="00174C61"/>
    <w:rsid w:val="0017790B"/>
    <w:rsid w:val="001C173E"/>
    <w:rsid w:val="001C3B96"/>
    <w:rsid w:val="001C6A07"/>
    <w:rsid w:val="0021233F"/>
    <w:rsid w:val="00240397"/>
    <w:rsid w:val="00245C3E"/>
    <w:rsid w:val="002667C1"/>
    <w:rsid w:val="00297147"/>
    <w:rsid w:val="002A0336"/>
    <w:rsid w:val="002D0EFB"/>
    <w:rsid w:val="002D0F2E"/>
    <w:rsid w:val="002D2DEA"/>
    <w:rsid w:val="002F3107"/>
    <w:rsid w:val="002F5388"/>
    <w:rsid w:val="003228FF"/>
    <w:rsid w:val="00327106"/>
    <w:rsid w:val="00336853"/>
    <w:rsid w:val="00360A52"/>
    <w:rsid w:val="003639D4"/>
    <w:rsid w:val="00390FAC"/>
    <w:rsid w:val="003E03F1"/>
    <w:rsid w:val="003E3067"/>
    <w:rsid w:val="003F5270"/>
    <w:rsid w:val="0045592F"/>
    <w:rsid w:val="00462D9C"/>
    <w:rsid w:val="00465A7C"/>
    <w:rsid w:val="004B3819"/>
    <w:rsid w:val="004B55AB"/>
    <w:rsid w:val="004C0249"/>
    <w:rsid w:val="004C1D27"/>
    <w:rsid w:val="00506CD4"/>
    <w:rsid w:val="0054299B"/>
    <w:rsid w:val="00543DC6"/>
    <w:rsid w:val="005506EC"/>
    <w:rsid w:val="00567179"/>
    <w:rsid w:val="00567582"/>
    <w:rsid w:val="00573D5D"/>
    <w:rsid w:val="005939A0"/>
    <w:rsid w:val="00595541"/>
    <w:rsid w:val="005C42B0"/>
    <w:rsid w:val="005D4FAE"/>
    <w:rsid w:val="005E77D7"/>
    <w:rsid w:val="00614DC1"/>
    <w:rsid w:val="0062487C"/>
    <w:rsid w:val="00630949"/>
    <w:rsid w:val="006578B6"/>
    <w:rsid w:val="006617B7"/>
    <w:rsid w:val="0067639E"/>
    <w:rsid w:val="00697A17"/>
    <w:rsid w:val="006A4CB7"/>
    <w:rsid w:val="006B40DF"/>
    <w:rsid w:val="006D096F"/>
    <w:rsid w:val="006E0EE7"/>
    <w:rsid w:val="00741365"/>
    <w:rsid w:val="00765BC2"/>
    <w:rsid w:val="0078049B"/>
    <w:rsid w:val="007815FC"/>
    <w:rsid w:val="007A43AE"/>
    <w:rsid w:val="007B2CA5"/>
    <w:rsid w:val="007C77FC"/>
    <w:rsid w:val="007E4863"/>
    <w:rsid w:val="007E5470"/>
    <w:rsid w:val="007E56BA"/>
    <w:rsid w:val="007E68A2"/>
    <w:rsid w:val="007F1172"/>
    <w:rsid w:val="007F1BE2"/>
    <w:rsid w:val="00800E3A"/>
    <w:rsid w:val="00802B54"/>
    <w:rsid w:val="00824F81"/>
    <w:rsid w:val="00831423"/>
    <w:rsid w:val="00832729"/>
    <w:rsid w:val="008352D1"/>
    <w:rsid w:val="0084714E"/>
    <w:rsid w:val="008752C1"/>
    <w:rsid w:val="0088148A"/>
    <w:rsid w:val="00881C8A"/>
    <w:rsid w:val="00884D13"/>
    <w:rsid w:val="00893D4F"/>
    <w:rsid w:val="008A0E28"/>
    <w:rsid w:val="008D3EAB"/>
    <w:rsid w:val="008F53D7"/>
    <w:rsid w:val="00907FA3"/>
    <w:rsid w:val="009273E3"/>
    <w:rsid w:val="009346FD"/>
    <w:rsid w:val="00934907"/>
    <w:rsid w:val="00934D9E"/>
    <w:rsid w:val="00956845"/>
    <w:rsid w:val="0096748C"/>
    <w:rsid w:val="00970B35"/>
    <w:rsid w:val="00976B04"/>
    <w:rsid w:val="00993026"/>
    <w:rsid w:val="009D21A0"/>
    <w:rsid w:val="009D5091"/>
    <w:rsid w:val="009D71E8"/>
    <w:rsid w:val="00A2494E"/>
    <w:rsid w:val="00A62030"/>
    <w:rsid w:val="00A831CC"/>
    <w:rsid w:val="00AD0225"/>
    <w:rsid w:val="00AE4CCD"/>
    <w:rsid w:val="00AE771B"/>
    <w:rsid w:val="00B10BA4"/>
    <w:rsid w:val="00B14945"/>
    <w:rsid w:val="00B23775"/>
    <w:rsid w:val="00B24011"/>
    <w:rsid w:val="00B321D3"/>
    <w:rsid w:val="00B41DB0"/>
    <w:rsid w:val="00B422FB"/>
    <w:rsid w:val="00B47372"/>
    <w:rsid w:val="00B66C49"/>
    <w:rsid w:val="00BA2F12"/>
    <w:rsid w:val="00BA3016"/>
    <w:rsid w:val="00BA4D1D"/>
    <w:rsid w:val="00BD044B"/>
    <w:rsid w:val="00BF2EDB"/>
    <w:rsid w:val="00C00048"/>
    <w:rsid w:val="00C3689E"/>
    <w:rsid w:val="00C502F2"/>
    <w:rsid w:val="00C82D3E"/>
    <w:rsid w:val="00CD1958"/>
    <w:rsid w:val="00D26FE1"/>
    <w:rsid w:val="00D84996"/>
    <w:rsid w:val="00DC6698"/>
    <w:rsid w:val="00DD4A78"/>
    <w:rsid w:val="00DD5C6C"/>
    <w:rsid w:val="00DE2436"/>
    <w:rsid w:val="00DF288C"/>
    <w:rsid w:val="00E00750"/>
    <w:rsid w:val="00E3696D"/>
    <w:rsid w:val="00E51646"/>
    <w:rsid w:val="00E5235C"/>
    <w:rsid w:val="00E61DF2"/>
    <w:rsid w:val="00E67C2D"/>
    <w:rsid w:val="00E804FB"/>
    <w:rsid w:val="00E816D4"/>
    <w:rsid w:val="00EA4D25"/>
    <w:rsid w:val="00EC4AD0"/>
    <w:rsid w:val="00EE687F"/>
    <w:rsid w:val="00F26C38"/>
    <w:rsid w:val="00F3241B"/>
    <w:rsid w:val="00F430EC"/>
    <w:rsid w:val="00F86DD9"/>
    <w:rsid w:val="00F92FA8"/>
    <w:rsid w:val="00F96BFC"/>
    <w:rsid w:val="00FA1516"/>
    <w:rsid w:val="00FA6C38"/>
    <w:rsid w:val="00FD1189"/>
    <w:rsid w:val="00FE0D18"/>
    <w:rsid w:val="00FF3FD9"/>
    <w:rsid w:val="05E95BD7"/>
    <w:rsid w:val="06D15BE0"/>
    <w:rsid w:val="0AC077B0"/>
    <w:rsid w:val="15B54134"/>
    <w:rsid w:val="2754678A"/>
    <w:rsid w:val="2F3D1535"/>
    <w:rsid w:val="399370EB"/>
    <w:rsid w:val="3FFB2915"/>
    <w:rsid w:val="45F004B5"/>
    <w:rsid w:val="47702C14"/>
    <w:rsid w:val="5F14494B"/>
    <w:rsid w:val="61CF3848"/>
    <w:rsid w:val="6BF209C0"/>
    <w:rsid w:val="6D6A5B23"/>
    <w:rsid w:val="7747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line="533" w:lineRule="auto"/>
      <w:ind w:left="840" w:right="-120"/>
    </w:pPr>
  </w:style>
  <w:style w:type="paragraph" w:styleId="3">
    <w:name w:val="Body Text First Indent"/>
    <w:basedOn w:val="2"/>
    <w:next w:val="1"/>
    <w:qFormat/>
    <w:uiPriority w:val="0"/>
    <w:pPr>
      <w:ind w:firstLine="420" w:firstLineChars="10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2"/>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paragraph" w:customStyle="1" w:styleId="21">
    <w:name w:val="p2"/>
    <w:basedOn w:val="1"/>
    <w:qFormat/>
    <w:uiPriority w:val="0"/>
    <w:pPr>
      <w:spacing w:line="440" w:lineRule="atLeast"/>
      <w:jc w:val="both"/>
    </w:pPr>
    <w:rPr>
      <w:rFonts w:ascii="Helvetica" w:hAnsi="Helvetica" w:eastAsia="Helvetica"/>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388</Words>
  <Characters>2214</Characters>
  <Lines>18</Lines>
  <Paragraphs>5</Paragraphs>
  <TotalTime>12</TotalTime>
  <ScaleCrop>false</ScaleCrop>
  <LinksUpToDate>false</LinksUpToDate>
  <CharactersWithSpaces>2597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2024-11-27T15:50:00Z</dcterms:created>
  <dc:creator>微软用户</dc:creator>
  <cp:lastModifiedBy>张俐敏</cp:lastModifiedBy>
  <cp:lastPrinted>2020-09-24T16:21:00Z</cp:lastPrinted>
  <dcterms:modified xsi:type="dcterms:W3CDTF">2024-11-27T19:49:33Z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15381DC9078C30264D074767D971E8E2_43</vt:lpwstr>
  </property>
</Properties>
</file>