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5978D"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0F783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51C243DA"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678B0215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020AF46E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4F94E511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4758A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78FA319C"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A9DF5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760ECA7D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09D2E7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630EB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0EDB6097"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0FAD2">
            <w:pPr>
              <w:pStyle w:val="15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2025年下半年空调</w:t>
            </w:r>
          </w:p>
        </w:tc>
        <w:tc>
          <w:tcPr>
            <w:tcW w:w="885" w:type="dxa"/>
            <w:vAlign w:val="center"/>
          </w:tcPr>
          <w:p w14:paraId="2B10F97F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490B7"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Y="72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21"/>
        <w:gridCol w:w="3323"/>
        <w:gridCol w:w="891"/>
        <w:gridCol w:w="705"/>
        <w:gridCol w:w="1213"/>
      </w:tblGrid>
      <w:tr w14:paraId="7D83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51" w:type="dxa"/>
            <w:vAlign w:val="center"/>
          </w:tcPr>
          <w:p w14:paraId="550D3A77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521" w:type="dxa"/>
            <w:vAlign w:val="center"/>
          </w:tcPr>
          <w:p w14:paraId="08D0D8A5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323" w:type="dxa"/>
            <w:vAlign w:val="center"/>
          </w:tcPr>
          <w:p w14:paraId="3DB9E46B"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891" w:type="dxa"/>
            <w:vAlign w:val="center"/>
          </w:tcPr>
          <w:p w14:paraId="368122B1">
            <w:pPr>
              <w:pStyle w:val="7"/>
              <w:widowControl w:val="0"/>
              <w:jc w:val="center"/>
              <w:rPr>
                <w:rStyle w:val="11"/>
                <w:rFonts w:hint="eastAsia" w:eastAsia="宋体"/>
                <w:szCs w:val="18"/>
                <w:lang w:eastAsia="zh-CN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  <w:r>
              <w:rPr>
                <w:rStyle w:val="11"/>
                <w:rFonts w:hint="eastAsia"/>
                <w:szCs w:val="18"/>
                <w:lang w:eastAsia="zh-CN"/>
              </w:rPr>
              <w:t>（</w:t>
            </w:r>
            <w:r>
              <w:rPr>
                <w:rStyle w:val="11"/>
                <w:rFonts w:hint="eastAsia"/>
                <w:szCs w:val="18"/>
                <w:lang w:val="en-US" w:eastAsia="zh-CN"/>
              </w:rPr>
              <w:t>元</w:t>
            </w:r>
            <w:r>
              <w:rPr>
                <w:rStyle w:val="11"/>
                <w:rFonts w:hint="eastAsia"/>
                <w:szCs w:val="18"/>
                <w:lang w:eastAsia="zh-CN"/>
              </w:rPr>
              <w:t>）</w:t>
            </w:r>
          </w:p>
        </w:tc>
        <w:tc>
          <w:tcPr>
            <w:tcW w:w="705" w:type="dxa"/>
            <w:vAlign w:val="center"/>
          </w:tcPr>
          <w:p w14:paraId="530160B7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 w14:paraId="77FDA5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2" w:hanging="482" w:hangingChars="200"/>
              <w:jc w:val="center"/>
              <w:textAlignment w:val="auto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金额（元）</w:t>
            </w:r>
          </w:p>
        </w:tc>
      </w:tr>
      <w:tr w14:paraId="3AF8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280CC2A8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</w:t>
            </w:r>
          </w:p>
        </w:tc>
        <w:tc>
          <w:tcPr>
            <w:tcW w:w="1521" w:type="dxa"/>
            <w:vAlign w:val="center"/>
          </w:tcPr>
          <w:p w14:paraId="79DAF476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2P挂机</w:t>
            </w:r>
          </w:p>
        </w:tc>
        <w:tc>
          <w:tcPr>
            <w:tcW w:w="3323" w:type="dxa"/>
            <w:vAlign w:val="center"/>
          </w:tcPr>
          <w:p w14:paraId="678972C6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KFR-50GW/G860E-X1</w:t>
            </w:r>
          </w:p>
          <w:p w14:paraId="489BB710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能效等级一级</w:t>
            </w:r>
          </w:p>
          <w:p w14:paraId="497C3416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电源220V-50Hz  </w:t>
            </w:r>
          </w:p>
          <w:p w14:paraId="157F2DA9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额定制冷量（W）≥5000</w:t>
            </w:r>
          </w:p>
          <w:p w14:paraId="5CA32DB4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额定制冷功率（W）≤1240</w:t>
            </w:r>
          </w:p>
          <w:p w14:paraId="7F7ACB82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额定制热量（W）≥7200</w:t>
            </w:r>
          </w:p>
          <w:p w14:paraId="07BAAF0F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额定制热功率 （W）≤1960</w:t>
            </w:r>
          </w:p>
          <w:p w14:paraId="605D3B84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电辅热（W）≥1200</w:t>
            </w:r>
          </w:p>
          <w:p w14:paraId="7095B6E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最大循环风量（m3/h）≥ 1050</w:t>
            </w:r>
          </w:p>
          <w:p w14:paraId="0615859E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内机最大噪音dB（A）≤43</w:t>
            </w:r>
          </w:p>
          <w:p w14:paraId="676749E5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外机最大噪音dB（A）≤54</w:t>
            </w:r>
          </w:p>
          <w:p w14:paraId="35979BDC">
            <w:pPr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冷媒环保型冷媒（R410A或R32）</w:t>
            </w:r>
          </w:p>
        </w:tc>
        <w:tc>
          <w:tcPr>
            <w:tcW w:w="891" w:type="dxa"/>
            <w:vAlign w:val="center"/>
          </w:tcPr>
          <w:p w14:paraId="0469A343">
            <w:pPr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705" w:type="dxa"/>
            <w:vAlign w:val="center"/>
          </w:tcPr>
          <w:p w14:paraId="3DD00A88">
            <w:pPr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1213" w:type="dxa"/>
            <w:vAlign w:val="center"/>
          </w:tcPr>
          <w:p w14:paraId="59D5432B">
            <w:pPr>
              <w:textAlignment w:val="center"/>
              <w:rPr>
                <w:rFonts w:ascii="宋体" w:hAnsi="宋体" w:cs="宋体"/>
              </w:rPr>
            </w:pPr>
          </w:p>
        </w:tc>
      </w:tr>
      <w:tr w14:paraId="77CA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538684CB">
            <w:pPr>
              <w:jc w:val="center"/>
              <w:textAlignment w:val="center"/>
              <w:rPr>
                <w:rStyle w:val="11"/>
                <w:rFonts w:hint="eastAsia" w:eastAsia="宋体"/>
                <w:lang w:val="en-US" w:eastAsia="zh-CN"/>
              </w:rPr>
            </w:pPr>
            <w:r>
              <w:rPr>
                <w:rStyle w:val="11"/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1521" w:type="dxa"/>
            <w:vAlign w:val="center"/>
          </w:tcPr>
          <w:p w14:paraId="145564B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3P挂机</w:t>
            </w:r>
          </w:p>
        </w:tc>
        <w:tc>
          <w:tcPr>
            <w:tcW w:w="3323" w:type="dxa"/>
            <w:vAlign w:val="center"/>
          </w:tcPr>
          <w:p w14:paraId="41DA5B34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KFR-72GW/G860D-X1</w:t>
            </w:r>
          </w:p>
          <w:p w14:paraId="7FFA15F8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能效等级一级</w:t>
            </w:r>
          </w:p>
          <w:p w14:paraId="1EC2EBB5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电源220V-50Hz  </w:t>
            </w:r>
          </w:p>
          <w:p w14:paraId="1563F925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额定制冷量（W）≥7300</w:t>
            </w:r>
          </w:p>
          <w:p w14:paraId="4562797A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额定制冷功率（W）≤1945</w:t>
            </w:r>
          </w:p>
          <w:p w14:paraId="5BE71134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额定制热量（W）≥9800</w:t>
            </w:r>
          </w:p>
          <w:p w14:paraId="57B7BE25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额定制热功率 （W）≤2920</w:t>
            </w:r>
          </w:p>
          <w:p w14:paraId="3282BB3A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电辅热（W）≥1500</w:t>
            </w:r>
          </w:p>
          <w:p w14:paraId="0BA72F74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最大循环风量（m3/h）≥ 1380</w:t>
            </w:r>
          </w:p>
          <w:p w14:paraId="55BC10F1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内机最大噪音dB（A）≤47</w:t>
            </w:r>
          </w:p>
          <w:p w14:paraId="722E36F3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外机最大噪音dB（A）≤55</w:t>
            </w:r>
          </w:p>
          <w:p w14:paraId="76866136">
            <w:p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冷媒环保型冷媒（R410A或R32）</w:t>
            </w:r>
          </w:p>
        </w:tc>
        <w:tc>
          <w:tcPr>
            <w:tcW w:w="891" w:type="dxa"/>
            <w:vAlign w:val="center"/>
          </w:tcPr>
          <w:p w14:paraId="028865E9">
            <w:pPr>
              <w:textAlignment w:val="center"/>
            </w:pPr>
          </w:p>
        </w:tc>
        <w:tc>
          <w:tcPr>
            <w:tcW w:w="705" w:type="dxa"/>
            <w:vAlign w:val="center"/>
          </w:tcPr>
          <w:p w14:paraId="2402473A">
            <w:pPr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1213" w:type="dxa"/>
            <w:vAlign w:val="center"/>
          </w:tcPr>
          <w:p w14:paraId="578016E5">
            <w:pPr>
              <w:textAlignment w:val="center"/>
              <w:rPr>
                <w:rFonts w:ascii="宋体" w:hAnsi="宋体" w:cs="宋体"/>
              </w:rPr>
            </w:pPr>
          </w:p>
        </w:tc>
      </w:tr>
      <w:tr w14:paraId="3783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42CA8D6D">
            <w:pPr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</w:t>
            </w:r>
          </w:p>
        </w:tc>
        <w:tc>
          <w:tcPr>
            <w:tcW w:w="1521" w:type="dxa"/>
            <w:vAlign w:val="center"/>
          </w:tcPr>
          <w:p w14:paraId="6DC3A599">
            <w:pPr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3P柜机</w:t>
            </w:r>
          </w:p>
        </w:tc>
        <w:tc>
          <w:tcPr>
            <w:tcW w:w="3323" w:type="dxa"/>
            <w:vAlign w:val="center"/>
          </w:tcPr>
          <w:p w14:paraId="48130DFC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KFR-72LW/G880X-X1</w:t>
            </w:r>
          </w:p>
          <w:p w14:paraId="3996B400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能效等级一级</w:t>
            </w:r>
          </w:p>
          <w:p w14:paraId="40E2A6A8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电源220V-50Hz  </w:t>
            </w:r>
          </w:p>
          <w:p w14:paraId="70E6C91A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额定制冷量（W）≥7320</w:t>
            </w:r>
          </w:p>
          <w:p w14:paraId="6DAC22B9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额定制冷功率（W）≤1930</w:t>
            </w:r>
          </w:p>
          <w:p w14:paraId="33C202E1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额定制热量（W）≥9810</w:t>
            </w:r>
          </w:p>
          <w:p w14:paraId="50E72167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额定制热功率 （W）≤2780</w:t>
            </w:r>
          </w:p>
          <w:p w14:paraId="4A3EB319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电辅热（W）≥2200</w:t>
            </w:r>
          </w:p>
          <w:p w14:paraId="28E881CB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最大循环风量（m3/h）≥ 1300</w:t>
            </w:r>
          </w:p>
          <w:p w14:paraId="1D2CBB13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内机最大噪音dB（A）≤45</w:t>
            </w:r>
          </w:p>
          <w:p w14:paraId="0FE8CB6B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外机最大噪音dB（A）≤56</w:t>
            </w:r>
          </w:p>
          <w:p w14:paraId="1FC8BAE5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冷媒环保型冷媒（R410A或R32）</w:t>
            </w:r>
          </w:p>
        </w:tc>
        <w:tc>
          <w:tcPr>
            <w:tcW w:w="891" w:type="dxa"/>
            <w:vAlign w:val="center"/>
          </w:tcPr>
          <w:p w14:paraId="2DB91B77">
            <w:pPr>
              <w:textAlignment w:val="center"/>
            </w:pPr>
          </w:p>
        </w:tc>
        <w:tc>
          <w:tcPr>
            <w:tcW w:w="705" w:type="dxa"/>
            <w:vAlign w:val="center"/>
          </w:tcPr>
          <w:p w14:paraId="512ED11D">
            <w:pPr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1213" w:type="dxa"/>
            <w:vAlign w:val="center"/>
          </w:tcPr>
          <w:p w14:paraId="5A53D77A">
            <w:pPr>
              <w:textAlignment w:val="center"/>
              <w:rPr>
                <w:rFonts w:ascii="宋体" w:hAnsi="宋体" w:cs="宋体"/>
              </w:rPr>
            </w:pPr>
          </w:p>
        </w:tc>
      </w:tr>
      <w:tr w14:paraId="13FC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06BDEA51">
            <w:pPr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4</w:t>
            </w:r>
          </w:p>
        </w:tc>
        <w:tc>
          <w:tcPr>
            <w:tcW w:w="1521" w:type="dxa"/>
            <w:vAlign w:val="center"/>
          </w:tcPr>
          <w:p w14:paraId="432BA417">
            <w:pPr>
              <w:jc w:val="center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5P柜机</w:t>
            </w:r>
          </w:p>
        </w:tc>
        <w:tc>
          <w:tcPr>
            <w:tcW w:w="3323" w:type="dxa"/>
            <w:vAlign w:val="center"/>
          </w:tcPr>
          <w:p w14:paraId="1EEE114E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KFR-120LW/G891D-X1</w:t>
            </w:r>
          </w:p>
          <w:p w14:paraId="6B95C505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能效等级一级</w:t>
            </w:r>
          </w:p>
          <w:p w14:paraId="2CF42D1B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电源220V-50Hz  </w:t>
            </w:r>
          </w:p>
          <w:p w14:paraId="0D8CF3E0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额定制冷量（W）≥12300</w:t>
            </w:r>
          </w:p>
          <w:p w14:paraId="361FC049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额定制冷功率（W）≤4200</w:t>
            </w:r>
          </w:p>
          <w:p w14:paraId="268A67CF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额定制热量（W）≥14250</w:t>
            </w:r>
          </w:p>
          <w:p w14:paraId="42F584A0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额定制热功率 （W）≤4300</w:t>
            </w:r>
          </w:p>
          <w:p w14:paraId="055B7A04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电辅热（W）≥2400</w:t>
            </w:r>
          </w:p>
          <w:p w14:paraId="7135B242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最大循环风量（m3/h）≥ 2120</w:t>
            </w:r>
          </w:p>
          <w:p w14:paraId="3702CA42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内机最大噪音dB（A）≤52</w:t>
            </w:r>
          </w:p>
          <w:p w14:paraId="078EE5BB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外机最大噪音dB（A）≤60</w:t>
            </w:r>
          </w:p>
          <w:p w14:paraId="4B994AC5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冷媒环保型冷媒（R410A或R32）</w:t>
            </w:r>
          </w:p>
        </w:tc>
        <w:tc>
          <w:tcPr>
            <w:tcW w:w="891" w:type="dxa"/>
            <w:vAlign w:val="center"/>
          </w:tcPr>
          <w:p w14:paraId="00A7BBE8">
            <w:pPr>
              <w:textAlignment w:val="center"/>
            </w:pPr>
          </w:p>
        </w:tc>
        <w:tc>
          <w:tcPr>
            <w:tcW w:w="705" w:type="dxa"/>
            <w:vAlign w:val="center"/>
          </w:tcPr>
          <w:p w14:paraId="7FD0647F">
            <w:pPr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1213" w:type="dxa"/>
            <w:vAlign w:val="center"/>
          </w:tcPr>
          <w:p w14:paraId="21039220">
            <w:pPr>
              <w:textAlignment w:val="center"/>
              <w:rPr>
                <w:rFonts w:ascii="宋体" w:hAnsi="宋体" w:cs="宋体"/>
              </w:rPr>
            </w:pPr>
          </w:p>
        </w:tc>
      </w:tr>
      <w:tr w14:paraId="3CA3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4AA21C98">
            <w:pPr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1521" w:type="dxa"/>
            <w:vAlign w:val="center"/>
          </w:tcPr>
          <w:p w14:paraId="00072C80">
            <w:pPr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3P</w:t>
            </w:r>
            <w:r>
              <w:rPr>
                <w:rFonts w:hint="eastAsia" w:ascii="宋体" w:hAnsi="宋体" w:eastAsia="宋体" w:cs="宋体"/>
              </w:rPr>
              <w:t>天花机</w:t>
            </w:r>
          </w:p>
        </w:tc>
        <w:tc>
          <w:tcPr>
            <w:tcW w:w="3323" w:type="dxa"/>
            <w:vAlign w:val="center"/>
          </w:tcPr>
          <w:p w14:paraId="28C130BB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HUR-72QWL/QDZBp/d-1</w:t>
            </w:r>
          </w:p>
          <w:p w14:paraId="502F7FCB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能效等级一级</w:t>
            </w:r>
          </w:p>
          <w:p w14:paraId="6DDFB66B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电源220V-50Hz </w:t>
            </w:r>
          </w:p>
          <w:p w14:paraId="567D4524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额定制冷量（W）≥7200</w:t>
            </w:r>
          </w:p>
          <w:p w14:paraId="1580B04E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额定制冷功率（W）≤2270</w:t>
            </w:r>
          </w:p>
          <w:p w14:paraId="2755E99B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额定制热量（W）≥8000</w:t>
            </w:r>
          </w:p>
          <w:p w14:paraId="6D87D4E7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额定制热功率 （W）≤2050</w:t>
            </w:r>
          </w:p>
          <w:p w14:paraId="52EE90AC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电辅热（W）≥1500</w:t>
            </w:r>
          </w:p>
          <w:p w14:paraId="5675C25D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最大循环风量（m3/h）≥ 1260</w:t>
            </w:r>
          </w:p>
          <w:p w14:paraId="13061BA0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内机最大噪音dB（A）≤42</w:t>
            </w:r>
          </w:p>
          <w:p w14:paraId="43A5E141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外机最大噪音dB（A）≤55</w:t>
            </w:r>
          </w:p>
          <w:p w14:paraId="04076B50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冷媒环保型冷媒（R410A或R32）</w:t>
            </w:r>
          </w:p>
        </w:tc>
        <w:tc>
          <w:tcPr>
            <w:tcW w:w="891" w:type="dxa"/>
            <w:vAlign w:val="center"/>
          </w:tcPr>
          <w:p w14:paraId="3F25DF91">
            <w:pPr>
              <w:textAlignment w:val="center"/>
            </w:pPr>
          </w:p>
        </w:tc>
        <w:tc>
          <w:tcPr>
            <w:tcW w:w="705" w:type="dxa"/>
            <w:vAlign w:val="center"/>
          </w:tcPr>
          <w:p w14:paraId="60E7ECD1">
            <w:pPr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1213" w:type="dxa"/>
            <w:vAlign w:val="center"/>
          </w:tcPr>
          <w:p w14:paraId="5B886619">
            <w:pPr>
              <w:textAlignment w:val="center"/>
              <w:rPr>
                <w:rFonts w:ascii="宋体" w:hAnsi="宋体" w:cs="宋体"/>
              </w:rPr>
            </w:pPr>
          </w:p>
        </w:tc>
      </w:tr>
      <w:tr w14:paraId="394F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2573E047">
            <w:pPr>
              <w:jc w:val="center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6</w:t>
            </w:r>
          </w:p>
        </w:tc>
        <w:tc>
          <w:tcPr>
            <w:tcW w:w="1521" w:type="dxa"/>
            <w:vAlign w:val="center"/>
          </w:tcPr>
          <w:p w14:paraId="6E7F0FA0">
            <w:pPr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5P天花机</w:t>
            </w:r>
          </w:p>
        </w:tc>
        <w:tc>
          <w:tcPr>
            <w:tcW w:w="3323" w:type="dxa"/>
            <w:vAlign w:val="center"/>
          </w:tcPr>
          <w:p w14:paraId="07BFFB86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HUR-120QWL/QDZBp/d-1</w:t>
            </w:r>
          </w:p>
          <w:p w14:paraId="4D990258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能效等级一级</w:t>
            </w:r>
          </w:p>
          <w:p w14:paraId="2EE49C6D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电源220V-50Hz </w:t>
            </w:r>
          </w:p>
          <w:p w14:paraId="1FABF9DD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额定制冷量（W）≥12000</w:t>
            </w:r>
          </w:p>
          <w:p w14:paraId="30C4C61C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额定制冷功率（W）≤4640</w:t>
            </w:r>
          </w:p>
          <w:p w14:paraId="1F466DB6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额定制热量（W）≥13200</w:t>
            </w:r>
          </w:p>
          <w:p w14:paraId="18669A47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额定制热功率 （W）≤3930</w:t>
            </w:r>
          </w:p>
          <w:p w14:paraId="66A8895E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电辅热（W）≥1600</w:t>
            </w:r>
          </w:p>
          <w:p w14:paraId="28D9D9DE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最大循环风量（m3/h）≥ 1800</w:t>
            </w:r>
          </w:p>
          <w:p w14:paraId="5C7AF5E8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内机最大噪音dB（A）≤47</w:t>
            </w:r>
          </w:p>
          <w:p w14:paraId="575AE6AF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外机最大噪音dB（A）≤59</w:t>
            </w:r>
          </w:p>
          <w:p w14:paraId="15706C84">
            <w:pPr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冷媒环保型冷媒（R410A或R32）</w:t>
            </w:r>
          </w:p>
        </w:tc>
        <w:tc>
          <w:tcPr>
            <w:tcW w:w="891" w:type="dxa"/>
            <w:vAlign w:val="center"/>
          </w:tcPr>
          <w:p w14:paraId="2FC40164">
            <w:pPr>
              <w:textAlignment w:val="center"/>
            </w:pPr>
          </w:p>
        </w:tc>
        <w:tc>
          <w:tcPr>
            <w:tcW w:w="705" w:type="dxa"/>
            <w:vAlign w:val="center"/>
          </w:tcPr>
          <w:p w14:paraId="65C7B5DB">
            <w:pPr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1213" w:type="dxa"/>
            <w:vAlign w:val="center"/>
          </w:tcPr>
          <w:p w14:paraId="061D7EE2">
            <w:pPr>
              <w:textAlignment w:val="center"/>
              <w:rPr>
                <w:rFonts w:ascii="宋体" w:hAnsi="宋体" w:cs="宋体"/>
              </w:rPr>
            </w:pPr>
          </w:p>
        </w:tc>
      </w:tr>
      <w:tr w14:paraId="00D2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2A155316">
            <w:pPr>
              <w:pStyle w:val="7"/>
              <w:widowControl w:val="0"/>
              <w:rPr>
                <w:rStyle w:val="11"/>
                <w:rFonts w:hint="default" w:ascii="华文楷体" w:hAnsi="华文楷体" w:eastAsia="华文楷体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t>安装费</w:t>
            </w:r>
          </w:p>
        </w:tc>
        <w:tc>
          <w:tcPr>
            <w:tcW w:w="6440" w:type="dxa"/>
            <w:gridSpan w:val="4"/>
            <w:vAlign w:val="center"/>
          </w:tcPr>
          <w:p w14:paraId="142D9093">
            <w:pPr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本项目为交钥匙工程，包含设备正常使用的所有安装费，旧机拆运费，打孔，铜管延长费等。</w:t>
            </w:r>
          </w:p>
        </w:tc>
        <w:tc>
          <w:tcPr>
            <w:tcW w:w="1213" w:type="dxa"/>
            <w:vAlign w:val="center"/>
          </w:tcPr>
          <w:p w14:paraId="6DD8D45F"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1F9F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 w14:paraId="2C47B37A">
            <w:pPr>
              <w:pStyle w:val="7"/>
              <w:widowControl w:val="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440" w:type="dxa"/>
            <w:gridSpan w:val="4"/>
            <w:vAlign w:val="center"/>
          </w:tcPr>
          <w:p w14:paraId="5759BE1F">
            <w:pPr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人民币大写：</w:t>
            </w:r>
          </w:p>
        </w:tc>
        <w:tc>
          <w:tcPr>
            <w:tcW w:w="1213" w:type="dxa"/>
            <w:vAlign w:val="center"/>
          </w:tcPr>
          <w:p w14:paraId="48F95816">
            <w:pPr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 w14:paraId="1399D850">
      <w:pPr>
        <w:pStyle w:val="7"/>
        <w:spacing w:before="0" w:beforeAutospacing="0" w:after="0" w:afterAutospacing="0"/>
      </w:pPr>
    </w:p>
    <w:p w14:paraId="01983053">
      <w:pPr>
        <w:pStyle w:val="7"/>
        <w:spacing w:before="0" w:beforeAutospacing="0" w:after="0" w:afterAutospacing="0"/>
      </w:pPr>
    </w:p>
    <w:p w14:paraId="0B47DB18">
      <w:pPr>
        <w:pStyle w:val="7"/>
        <w:spacing w:before="0" w:beforeAutospacing="0" w:after="0" w:afterAutospacing="0"/>
      </w:pPr>
    </w:p>
    <w:p w14:paraId="7CCBD83E">
      <w:pPr>
        <w:pStyle w:val="7"/>
        <w:spacing w:before="0" w:beforeAutospacing="0" w:after="0" w:afterAutospacing="0"/>
      </w:pPr>
    </w:p>
    <w:p w14:paraId="6DCBC626">
      <w:pPr>
        <w:pStyle w:val="7"/>
        <w:spacing w:before="0" w:beforeAutospacing="0" w:after="0" w:afterAutospacing="0"/>
        <w:jc w:val="right"/>
      </w:pPr>
    </w:p>
    <w:p w14:paraId="331C71D0">
      <w:pPr>
        <w:pStyle w:val="7"/>
        <w:spacing w:before="0" w:beforeAutospacing="0" w:after="0" w:afterAutospacing="0"/>
        <w:ind w:firstLine="480" w:firstLineChars="200"/>
        <w:jc w:val="right"/>
      </w:pPr>
      <w:r>
        <w:rPr>
          <w:rFonts w:hint="eastAsia"/>
        </w:rPr>
        <w:t>报价单位（盖章）：</w:t>
      </w:r>
    </w:p>
    <w:p w14:paraId="2D8A2CE4">
      <w:pPr>
        <w:pStyle w:val="7"/>
        <w:spacing w:before="0" w:beforeAutospacing="0" w:after="0" w:afterAutospacing="0"/>
      </w:pPr>
    </w:p>
    <w:p w14:paraId="5C833091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39D85083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30CF7E32">
      <w:pPr>
        <w:pStyle w:val="7"/>
        <w:spacing w:before="0" w:beforeAutospacing="0" w:after="0" w:afterAutospacing="0"/>
        <w:ind w:firstLine="357"/>
        <w:rPr>
          <w:rFonts w:hint="eastAsia"/>
        </w:rPr>
      </w:pPr>
      <w:bookmarkStart w:id="0" w:name="_GoBack"/>
      <w:bookmarkEnd w:id="0"/>
    </w:p>
    <w:p w14:paraId="7FE33E43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7B5A761A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26B57248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2DC309F9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4F46A054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17714CA3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58B8809B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70121599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599422D0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3F85E194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022F6082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006D6446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5525539E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132915EC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3AB53893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40B70263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6420A9AD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4369AD94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74F2A6AB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2A869117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713A3F28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2B729F4C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625DD23E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7D1596B1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540B57CB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4F3C559A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2FD768C1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46BF4791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599DC669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46BA616D">
      <w:pPr>
        <w:pStyle w:val="7"/>
        <w:spacing w:before="0" w:beforeAutospacing="0" w:after="0" w:afterAutospacing="0"/>
        <w:ind w:firstLine="357"/>
        <w:rPr>
          <w:rFonts w:hint="eastAsia"/>
        </w:rPr>
      </w:pPr>
    </w:p>
    <w:p w14:paraId="3BE36878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 w14:paraId="76D12ED2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46B1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3D32038B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4AF9CF70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377D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E27F9F5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</w:p>
          <w:p w14:paraId="7F428223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4F4D8167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49F746D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4EB78D4D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519AF668">
      <w:pPr>
        <w:pStyle w:val="7"/>
        <w:spacing w:before="0" w:beforeAutospacing="0" w:after="0" w:afterAutospacing="0"/>
        <w:ind w:firstLine="357"/>
      </w:pPr>
    </w:p>
    <w:p w14:paraId="1345C6A2">
      <w:pPr>
        <w:pStyle w:val="7"/>
        <w:spacing w:before="0" w:beforeAutospacing="0" w:after="0" w:afterAutospacing="0"/>
      </w:pPr>
    </w:p>
    <w:p w14:paraId="07E02D2D"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14578">
      <w:pPr>
        <w:pStyle w:val="7"/>
        <w:spacing w:before="0" w:beforeAutospacing="0" w:after="0" w:afterAutospacing="0"/>
      </w:pPr>
    </w:p>
    <w:sectPr>
      <w:footerReference r:id="rId3" w:type="default"/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9F10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88DC8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88DC8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YWNjYmJjZWRmNmZhNDk0YjY4ZjhjZGRlM2ZlNDk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B5898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D18AC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0589D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468BC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11415D"/>
    <w:rsid w:val="1C2C444C"/>
    <w:rsid w:val="1CF15AB1"/>
    <w:rsid w:val="1DD35AC6"/>
    <w:rsid w:val="20B55BA6"/>
    <w:rsid w:val="217F300A"/>
    <w:rsid w:val="23991D0A"/>
    <w:rsid w:val="244F0ABE"/>
    <w:rsid w:val="251A0FB9"/>
    <w:rsid w:val="25707D5D"/>
    <w:rsid w:val="27C93D01"/>
    <w:rsid w:val="28AD5E70"/>
    <w:rsid w:val="2B0F4BC8"/>
    <w:rsid w:val="2E45721F"/>
    <w:rsid w:val="2EC51D41"/>
    <w:rsid w:val="2F403AC2"/>
    <w:rsid w:val="31242D33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5704D4C"/>
    <w:rsid w:val="57925E7A"/>
    <w:rsid w:val="57A05456"/>
    <w:rsid w:val="58B67A25"/>
    <w:rsid w:val="5BD10222"/>
    <w:rsid w:val="5C481D58"/>
    <w:rsid w:val="5CB80C98"/>
    <w:rsid w:val="5DD4125D"/>
    <w:rsid w:val="5EAA2487"/>
    <w:rsid w:val="60420175"/>
    <w:rsid w:val="636D60FB"/>
    <w:rsid w:val="65227237"/>
    <w:rsid w:val="69EF1F64"/>
    <w:rsid w:val="6A305CFD"/>
    <w:rsid w:val="6ECF178D"/>
    <w:rsid w:val="70262981"/>
    <w:rsid w:val="75B256C5"/>
    <w:rsid w:val="7AEE5BA0"/>
    <w:rsid w:val="7AFE1D5B"/>
    <w:rsid w:val="7B0B70AD"/>
    <w:rsid w:val="7E1D4BD2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821</Words>
  <Characters>1167</Characters>
  <Lines>1</Lines>
  <Paragraphs>1</Paragraphs>
  <TotalTime>77</TotalTime>
  <ScaleCrop>false</ScaleCrop>
  <LinksUpToDate>false</LinksUpToDate>
  <CharactersWithSpaces>1228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麦涤</cp:lastModifiedBy>
  <cp:lastPrinted>2020-09-24T08:21:00Z</cp:lastPrinted>
  <dcterms:modified xsi:type="dcterms:W3CDTF">2025-09-23T07:12:36Z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F4BFA5AF5C874AA0B74EEF9496516283_13</vt:lpwstr>
  </property>
  <property fmtid="{D5CDD505-2E9C-101B-9397-08002B2CF9AE}" pid="4" name="KSOTemplateDocerSaveRecord">
    <vt:lpwstr>eyJoZGlkIjoiM2ExN2UyMTJhM2QyMmM3ZDRhNGM5MWZjNzQ4NjViNDIiLCJ1c2VySWQiOiIxOTkyODk5MjAifQ==</vt:lpwstr>
  </property>
</Properties>
</file>